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napToGrid w:val="0"/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河南省教育综合改革项目指南</w:t>
      </w:r>
    </w:p>
    <w:p>
      <w:pPr>
        <w:snapToGrid w:val="0"/>
        <w:rPr>
          <w:rFonts w:ascii="仿宋_GB2312"/>
          <w:sz w:val="24"/>
          <w:szCs w:val="24"/>
        </w:rPr>
      </w:pP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基础教育资源优化配置改革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ascii="仿宋_GB2312"/>
        </w:rPr>
        <w:t>学前教育成本分担机制改革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幼儿园责任督学挂牌督导制度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义务教育优质均衡发展改革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中小学校长职级制改革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职业教育“双证书”制度改革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教育人才校企协同育人模式改革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教育培训机构分类管理改革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ascii="仿宋_GB2312"/>
        </w:rPr>
        <w:t>民办学校办学许可证管理制度改革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ascii="仿宋_GB2312"/>
        </w:rPr>
        <w:t>教育事业统计</w:t>
      </w:r>
      <w:r>
        <w:rPr>
          <w:rFonts w:hint="eastAsia" w:ascii="仿宋_GB2312"/>
        </w:rPr>
        <w:t>管理</w:t>
      </w:r>
      <w:r>
        <w:rPr>
          <w:rFonts w:ascii="仿宋_GB2312"/>
        </w:rPr>
        <w:t>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高等学校教师队伍管理体制改革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高等学校学分互认、学分转换制度改革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本科高校专业集群发展制度改革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应用型本科高校产教融合发展改革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职业院校产权制度改革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社会力量捐资助学机制改革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普通高校内部治理结构改革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高等教育人才培养结构动态调整机制改革</w:t>
      </w:r>
    </w:p>
    <w:p>
      <w:pPr>
        <w:spacing w:line="540" w:lineRule="exact"/>
        <w:ind w:firstLine="618" w:firstLineChars="200"/>
        <w:rPr>
          <w:rFonts w:ascii="仿宋_GB2312"/>
        </w:rPr>
      </w:pPr>
      <w:r>
        <w:rPr>
          <w:rFonts w:hint="eastAsia" w:ascii="仿宋_GB2312"/>
        </w:rPr>
        <w:t>高等教育多元质量保障与监督体系构建</w:t>
      </w:r>
    </w:p>
    <w:p>
      <w:pPr>
        <w:spacing w:line="540" w:lineRule="exact"/>
        <w:ind w:firstLine="618" w:firstLineChars="200"/>
        <w:rPr>
          <w:rFonts w:ascii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仿宋_GB2312"/>
        </w:rPr>
        <w:t>深化教育综合改革保障机制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F59F5"/>
    <w:rsid w:val="0C3F59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2018-06-02T09:34:00Z</dcterms:created>
  <dc:creator>jytmh</dc:creator>
  <cp:lastModifiedBy>jytmh</cp:lastModifiedBy>
  <dcterms:modified xsi:type="dcterms:W3CDTF">2018-06-02T09:34:54Z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