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A1" w:rsidRDefault="00B444A1" w:rsidP="00B444A1">
      <w:pPr>
        <w:widowControl/>
        <w:jc w:val="left"/>
        <w:rPr>
          <w:rFonts w:ascii="黑体" w:eastAsia="黑体" w:hAnsi="黑体"/>
        </w:rPr>
      </w:pPr>
      <w:r>
        <w:rPr>
          <w:rFonts w:ascii="黑体" w:eastAsia="黑体" w:hAnsi="黑体" w:hint="eastAsia"/>
        </w:rPr>
        <w:t>附  件</w:t>
      </w:r>
    </w:p>
    <w:p w:rsidR="00B444A1" w:rsidRDefault="00B444A1" w:rsidP="00B444A1">
      <w:pPr>
        <w:widowControl/>
        <w:jc w:val="left"/>
        <w:rPr>
          <w:rFonts w:hint="eastAsia"/>
        </w:rPr>
      </w:pPr>
    </w:p>
    <w:p w:rsidR="00B444A1" w:rsidRDefault="00B444A1" w:rsidP="00B444A1">
      <w:pPr>
        <w:adjustRightInd w:val="0"/>
        <w:snapToGrid w:val="0"/>
        <w:jc w:val="center"/>
        <w:rPr>
          <w:rFonts w:ascii="方正小标宋简体" w:eastAsia="方正小标宋简体" w:hAnsi="宋体"/>
          <w:sz w:val="44"/>
          <w:szCs w:val="44"/>
        </w:rPr>
      </w:pPr>
      <w:r>
        <w:rPr>
          <w:rFonts w:ascii="方正小标宋简体" w:eastAsia="方正小标宋简体" w:hAnsi="宋体" w:hint="eastAsia"/>
          <w:sz w:val="44"/>
          <w:szCs w:val="44"/>
        </w:rPr>
        <w:t>河南省“十三五”高等职业教育立体化教材</w:t>
      </w:r>
    </w:p>
    <w:p w:rsidR="00B444A1" w:rsidRDefault="00B444A1" w:rsidP="00B444A1">
      <w:pPr>
        <w:adjustRightInd w:val="0"/>
        <w:snapToGrid w:val="0"/>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项目建设指南</w:t>
      </w:r>
    </w:p>
    <w:p w:rsidR="00B444A1" w:rsidRDefault="00B444A1" w:rsidP="00B444A1">
      <w:pPr>
        <w:pStyle w:val="a4"/>
        <w:adjustRightInd w:val="0"/>
        <w:ind w:firstLine="600"/>
        <w:rPr>
          <w:rFonts w:ascii="黑体" w:eastAsia="黑体" w:hAnsi="黑体" w:hint="eastAsia"/>
        </w:rPr>
      </w:pPr>
    </w:p>
    <w:p w:rsidR="00B444A1" w:rsidRDefault="00B444A1" w:rsidP="00B444A1">
      <w:pPr>
        <w:pStyle w:val="a4"/>
        <w:adjustRightInd w:val="0"/>
        <w:ind w:firstLineChars="0" w:firstLine="0"/>
        <w:jc w:val="center"/>
        <w:rPr>
          <w:rFonts w:ascii="黑体" w:eastAsia="黑体" w:hAnsi="黑体" w:cs="宋体" w:hint="eastAsia"/>
          <w:kern w:val="0"/>
        </w:rPr>
      </w:pPr>
      <w:r>
        <w:rPr>
          <w:rFonts w:ascii="黑体" w:eastAsia="黑体" w:hAnsi="黑体" w:hint="eastAsia"/>
        </w:rPr>
        <w:t xml:space="preserve">第一章  </w:t>
      </w:r>
      <w:r>
        <w:rPr>
          <w:rFonts w:ascii="黑体" w:eastAsia="黑体" w:hAnsi="黑体" w:cs="宋体" w:hint="eastAsia"/>
          <w:kern w:val="0"/>
        </w:rPr>
        <w:t>总 则</w:t>
      </w:r>
    </w:p>
    <w:p w:rsidR="00B444A1" w:rsidRDefault="00B444A1" w:rsidP="00B444A1">
      <w:pPr>
        <w:widowControl/>
        <w:adjustRightInd w:val="0"/>
        <w:ind w:firstLineChars="200" w:firstLine="600"/>
        <w:rPr>
          <w:rFonts w:ascii="仿宋_GB2312" w:hAnsi="宋体" w:cs="宋体" w:hint="eastAsia"/>
          <w:kern w:val="0"/>
        </w:rPr>
      </w:pPr>
      <w:r>
        <w:rPr>
          <w:rFonts w:ascii="仿宋_GB2312" w:cs="Calibri" w:hint="eastAsia"/>
        </w:rPr>
        <w:t>为了贯彻落实《教育部关于印发&lt;高等职业教育创新发展行动计划（2015-2018年）&gt;的通知》（教职成〔2015〕9号）《关于进一步推进职业教育信息化发展的指导意见》（教职成〔2017〕4号）和《河南省人民政府关于深化高等教育综合改革全面提升服务经济社会发展能力的意见》（豫政〔2015〕41号）精神，顺应“互联网+”的发展趋势，推进现代信息技术与教育教学的全面深度融合，加快提升我省</w:t>
      </w:r>
      <w:r>
        <w:rPr>
          <w:rFonts w:ascii="仿宋_GB2312" w:hAnsi="宋体" w:cs="Calibri" w:hint="eastAsia"/>
        </w:rPr>
        <w:t>高等职业教育</w:t>
      </w:r>
      <w:r>
        <w:rPr>
          <w:rFonts w:ascii="仿宋_GB2312" w:cs="Calibri" w:hint="eastAsia"/>
        </w:rPr>
        <w:t>信息化整体水平，“十三五”期间我省将建设一批集纸质教材和数字资源于一体的高职院校</w:t>
      </w:r>
      <w:r>
        <w:rPr>
          <w:rFonts w:ascii="仿宋_GB2312" w:hAnsi="宋体" w:hint="eastAsia"/>
        </w:rPr>
        <w:t>立体可视化教材项目（以下简称立体化教材项目）</w:t>
      </w:r>
      <w:r>
        <w:rPr>
          <w:rFonts w:ascii="仿宋_GB2312" w:cs="Calibri" w:hint="eastAsia"/>
        </w:rPr>
        <w:t>。</w:t>
      </w:r>
    </w:p>
    <w:p w:rsidR="00B444A1" w:rsidRDefault="00B444A1" w:rsidP="00B444A1">
      <w:pPr>
        <w:adjustRightInd w:val="0"/>
        <w:ind w:firstLineChars="200" w:firstLine="600"/>
        <w:rPr>
          <w:rFonts w:ascii="黑体" w:eastAsia="黑体" w:hAnsi="黑体" w:cs="宋体" w:hint="eastAsia"/>
          <w:kern w:val="0"/>
        </w:rPr>
      </w:pPr>
      <w:r>
        <w:rPr>
          <w:rFonts w:ascii="仿宋_GB2312" w:hAnsi="宋体" w:cs="宋体" w:hint="eastAsia"/>
          <w:kern w:val="0"/>
        </w:rPr>
        <w:t>为了规范和加强立体化教材项目建设管理，提高项目建设质量与效益，规范资金使用，根据国家有关法律法规，制定本指南。</w:t>
      </w:r>
    </w:p>
    <w:p w:rsidR="00B444A1" w:rsidRDefault="00B444A1" w:rsidP="00B444A1">
      <w:pPr>
        <w:adjustRightInd w:val="0"/>
        <w:jc w:val="center"/>
        <w:rPr>
          <w:rFonts w:ascii="黑体" w:eastAsia="黑体" w:hAnsi="黑体" w:cs="宋体" w:hint="eastAsia"/>
          <w:kern w:val="0"/>
        </w:rPr>
      </w:pPr>
      <w:r>
        <w:rPr>
          <w:rFonts w:ascii="黑体" w:eastAsia="黑体" w:hAnsi="黑体" w:cs="宋体" w:hint="eastAsia"/>
          <w:kern w:val="0"/>
        </w:rPr>
        <w:t>第二章  管理机制</w:t>
      </w:r>
    </w:p>
    <w:p w:rsidR="00B444A1" w:rsidRDefault="00B444A1" w:rsidP="00B444A1">
      <w:pPr>
        <w:pStyle w:val="a3"/>
        <w:adjustRightInd w:val="0"/>
        <w:ind w:firstLineChars="200" w:firstLine="600"/>
        <w:jc w:val="both"/>
        <w:rPr>
          <w:rFonts w:ascii="仿宋_GB2312" w:hAnsi="宋体" w:hint="eastAsia"/>
          <w:sz w:val="30"/>
          <w:szCs w:val="30"/>
        </w:rPr>
      </w:pPr>
      <w:r>
        <w:rPr>
          <w:rFonts w:ascii="仿宋_GB2312" w:hAnsi="宋体" w:hint="eastAsia"/>
          <w:sz w:val="30"/>
          <w:szCs w:val="30"/>
        </w:rPr>
        <w:t>立体化教材项目采取“政府主导、学校建设、企业参与”的建设模式。</w:t>
      </w:r>
    </w:p>
    <w:p w:rsidR="00B444A1" w:rsidRDefault="00B444A1" w:rsidP="00B444A1">
      <w:pPr>
        <w:pStyle w:val="a3"/>
        <w:adjustRightInd w:val="0"/>
        <w:ind w:firstLineChars="200" w:firstLine="600"/>
        <w:jc w:val="both"/>
        <w:rPr>
          <w:rFonts w:hint="eastAsia"/>
          <w:sz w:val="30"/>
          <w:szCs w:val="30"/>
        </w:rPr>
      </w:pPr>
      <w:r>
        <w:rPr>
          <w:rFonts w:ascii="仿宋_GB2312" w:hAnsi="宋体" w:hint="eastAsia"/>
          <w:sz w:val="30"/>
          <w:szCs w:val="30"/>
        </w:rPr>
        <w:t>河南省教育厅统筹项目的申报、立项、验收和政策指导，委托河南省普通高等教育教材建设指导委员会高职分委会与河南</w:t>
      </w:r>
      <w:r>
        <w:rPr>
          <w:rFonts w:ascii="仿宋_GB2312" w:hAnsi="宋体" w:hint="eastAsia"/>
          <w:sz w:val="30"/>
          <w:szCs w:val="30"/>
        </w:rPr>
        <w:lastRenderedPageBreak/>
        <w:t>科学技术出版社开展日常工作</w:t>
      </w:r>
      <w:r>
        <w:rPr>
          <w:rFonts w:ascii="仿宋_GB2312" w:hint="eastAsia"/>
          <w:sz w:val="30"/>
          <w:szCs w:val="30"/>
        </w:rPr>
        <w:t>，成立</w:t>
      </w:r>
      <w:r>
        <w:rPr>
          <w:rFonts w:ascii="仿宋_GB2312" w:hAnsi="宋体" w:hint="eastAsia"/>
          <w:sz w:val="30"/>
          <w:szCs w:val="30"/>
        </w:rPr>
        <w:t>河南省“十三五”高等职业教育立体化教材项目建设专家委员会，负责项目的立项评审和验收工作。</w:t>
      </w:r>
    </w:p>
    <w:p w:rsidR="00B444A1" w:rsidRDefault="00B444A1" w:rsidP="00B444A1">
      <w:pPr>
        <w:adjustRightInd w:val="0"/>
        <w:ind w:firstLineChars="200" w:firstLine="600"/>
        <w:rPr>
          <w:rFonts w:ascii="仿宋_GB2312" w:hAnsi="宋体"/>
        </w:rPr>
      </w:pPr>
      <w:r>
        <w:rPr>
          <w:rFonts w:ascii="仿宋_GB2312" w:hAnsi="宋体" w:hint="eastAsia"/>
        </w:rPr>
        <w:t>各高职院校（或专业学会）是立体化教材建设的主体，负责组织本校（或本专业）立体化教材项目的申报、答辩和遴选，督促立项项目的建设进度，监控建设质量和建设资金使用。</w:t>
      </w:r>
      <w:r>
        <w:rPr>
          <w:rFonts w:ascii="仿宋_GB2312" w:cs="Calibri" w:hint="eastAsia"/>
        </w:rPr>
        <w:t>要明确支持政策和经费保障措施，建立立体化教材项目建设长效机制，激励高水平教师积极参与项目建设，保证数字化资源持续更新、完善和应用。</w:t>
      </w:r>
    </w:p>
    <w:p w:rsidR="00B444A1" w:rsidRDefault="00B444A1" w:rsidP="00B444A1">
      <w:pPr>
        <w:pStyle w:val="a3"/>
        <w:adjustRightInd w:val="0"/>
        <w:ind w:firstLineChars="200" w:firstLine="600"/>
        <w:rPr>
          <w:rFonts w:hint="eastAsia"/>
          <w:sz w:val="30"/>
          <w:szCs w:val="30"/>
        </w:rPr>
      </w:pPr>
      <w:r>
        <w:rPr>
          <w:rFonts w:ascii="仿宋_GB2312" w:hAnsi="宋体" w:hint="eastAsia"/>
          <w:sz w:val="30"/>
          <w:szCs w:val="30"/>
        </w:rPr>
        <w:t>河南科学技术出版社负责项目技术标准的制定、数字资源制作的技术支持、云平台和手机</w:t>
      </w:r>
      <w:r>
        <w:rPr>
          <w:rFonts w:ascii="仿宋_GB2312" w:hAnsi="宋体" w:hint="eastAsia"/>
          <w:sz w:val="30"/>
          <w:szCs w:val="30"/>
        </w:rPr>
        <w:t>APP</w:t>
      </w:r>
      <w:r>
        <w:rPr>
          <w:rFonts w:ascii="仿宋_GB2312" w:hAnsi="宋体" w:hint="eastAsia"/>
          <w:sz w:val="30"/>
          <w:szCs w:val="30"/>
        </w:rPr>
        <w:t>的运营与维护，以及纸质教材的编辑出版，东师理想信息技术研究院负责云平台和手机</w:t>
      </w:r>
      <w:r>
        <w:rPr>
          <w:rFonts w:ascii="仿宋_GB2312" w:hAnsi="宋体" w:hint="eastAsia"/>
          <w:sz w:val="30"/>
          <w:szCs w:val="30"/>
        </w:rPr>
        <w:t>APP</w:t>
      </w:r>
      <w:r>
        <w:rPr>
          <w:rFonts w:ascii="仿宋_GB2312" w:hAnsi="宋体" w:hint="eastAsia"/>
          <w:sz w:val="30"/>
          <w:szCs w:val="30"/>
        </w:rPr>
        <w:t>的研发和更新。</w:t>
      </w:r>
    </w:p>
    <w:p w:rsidR="00B444A1" w:rsidRDefault="00B444A1" w:rsidP="00B444A1">
      <w:pPr>
        <w:adjustRightInd w:val="0"/>
        <w:jc w:val="center"/>
        <w:rPr>
          <w:rFonts w:ascii="黑体" w:eastAsia="黑体" w:hAnsi="黑体" w:cs="宋体"/>
          <w:kern w:val="0"/>
        </w:rPr>
      </w:pPr>
      <w:r>
        <w:rPr>
          <w:rFonts w:ascii="黑体" w:eastAsia="黑体" w:hAnsi="黑体" w:cs="宋体" w:hint="eastAsia"/>
          <w:kern w:val="0"/>
        </w:rPr>
        <w:t>第三章  申报与立项</w:t>
      </w:r>
    </w:p>
    <w:p w:rsidR="00B444A1" w:rsidRDefault="00B444A1" w:rsidP="00B444A1">
      <w:pPr>
        <w:adjustRightInd w:val="0"/>
        <w:ind w:firstLineChars="200" w:firstLine="600"/>
        <w:rPr>
          <w:rFonts w:ascii="黑体" w:eastAsia="黑体" w:hAnsi="宋体" w:hint="eastAsia"/>
        </w:rPr>
      </w:pPr>
      <w:r>
        <w:rPr>
          <w:rFonts w:ascii="黑体" w:eastAsia="黑体" w:hAnsi="宋体" w:hint="eastAsia"/>
        </w:rPr>
        <w:t>一、基本原则</w:t>
      </w:r>
    </w:p>
    <w:p w:rsidR="00B444A1" w:rsidRDefault="00B444A1" w:rsidP="00B444A1">
      <w:pPr>
        <w:adjustRightInd w:val="0"/>
        <w:ind w:firstLineChars="200" w:firstLine="600"/>
        <w:rPr>
          <w:rFonts w:ascii="仿宋_GB2312" w:hAnsi="宋体" w:hint="eastAsia"/>
        </w:rPr>
      </w:pPr>
      <w:r>
        <w:rPr>
          <w:rFonts w:ascii="仿宋_GB2312" w:hAnsi="宋体" w:hint="eastAsia"/>
        </w:rPr>
        <w:t>1.自愿申报、公平竞争、专家评审、择优立项。</w:t>
      </w:r>
    </w:p>
    <w:p w:rsidR="00B444A1" w:rsidRDefault="00B444A1" w:rsidP="00B444A1">
      <w:pPr>
        <w:adjustRightInd w:val="0"/>
        <w:ind w:firstLineChars="200" w:firstLine="600"/>
        <w:rPr>
          <w:rFonts w:ascii="仿宋_GB2312" w:hAnsi="宋体" w:hint="eastAsia"/>
        </w:rPr>
      </w:pPr>
      <w:r>
        <w:rPr>
          <w:rFonts w:ascii="仿宋_GB2312" w:hAnsi="宋体" w:hint="eastAsia"/>
        </w:rPr>
        <w:t>2.突出重点。优先支持服务区域经济发展、新兴产业领域的专业核心技能课程；优先立项与已经建成的国家级、省级、校级专业教学资源库相匹配的教材；优先立项与省级以上精品课程、在线开放课程、专业综合改革试点相关的教材。</w:t>
      </w:r>
    </w:p>
    <w:p w:rsidR="00B444A1" w:rsidRDefault="00B444A1" w:rsidP="00B444A1">
      <w:pPr>
        <w:adjustRightInd w:val="0"/>
        <w:ind w:firstLineChars="200" w:firstLine="600"/>
        <w:rPr>
          <w:rFonts w:ascii="仿宋_GB2312" w:hAnsi="宋体" w:hint="eastAsia"/>
        </w:rPr>
      </w:pPr>
      <w:r>
        <w:rPr>
          <w:rFonts w:ascii="仿宋_GB2312" w:hAnsi="宋体" w:hint="eastAsia"/>
        </w:rPr>
        <w:t>3.促进教学改革。突出任务驱动教学、工学结合、理实一体等教材建设理念，每个项目建设团队应包括行业专家2～3名、</w:t>
      </w:r>
      <w:r>
        <w:rPr>
          <w:rFonts w:ascii="仿宋_GB2312" w:hAnsi="宋体" w:hint="eastAsia"/>
        </w:rPr>
        <w:lastRenderedPageBreak/>
        <w:t>企业专家2～3名。项目主持人应具有教授（正高）或副教授（副高）职称。</w:t>
      </w:r>
    </w:p>
    <w:p w:rsidR="00B444A1" w:rsidRDefault="00B444A1" w:rsidP="00B444A1">
      <w:pPr>
        <w:adjustRightInd w:val="0"/>
        <w:ind w:firstLineChars="200" w:firstLine="600"/>
        <w:rPr>
          <w:rFonts w:ascii="仿宋_GB2312" w:hAnsi="宋体" w:hint="eastAsia"/>
        </w:rPr>
      </w:pPr>
      <w:r>
        <w:rPr>
          <w:rFonts w:ascii="仿宋_GB2312" w:hAnsi="宋体" w:hint="eastAsia"/>
        </w:rPr>
        <w:t>4.推动资源共享。鼓励多校联合申报和专业学会申报，实现不同院校同一学科优质资源的互通共享。联合申报时实行第一主编单位负责制。多校联合申报或专业学会组织申报的，可适当增加申报名额。</w:t>
      </w:r>
    </w:p>
    <w:p w:rsidR="00B444A1" w:rsidRDefault="00B444A1" w:rsidP="00B444A1">
      <w:pPr>
        <w:adjustRightInd w:val="0"/>
        <w:ind w:firstLineChars="200" w:firstLine="600"/>
        <w:rPr>
          <w:rFonts w:ascii="仿宋_GB2312" w:hAnsi="宋体" w:hint="eastAsia"/>
        </w:rPr>
      </w:pPr>
      <w:r>
        <w:rPr>
          <w:rFonts w:ascii="仿宋_GB2312" w:hAnsi="宋体" w:hint="eastAsia"/>
        </w:rPr>
        <w:t>5.提高建设效益。已经立项的项目，原则上不再重复立项；同批次申报的项目，原则上择优或者合并立项。</w:t>
      </w:r>
    </w:p>
    <w:p w:rsidR="00B444A1" w:rsidRDefault="00B444A1" w:rsidP="00B444A1">
      <w:pPr>
        <w:adjustRightInd w:val="0"/>
        <w:ind w:firstLineChars="200" w:firstLine="600"/>
        <w:rPr>
          <w:rFonts w:ascii="仿宋_GB2312" w:hAnsi="宋体" w:hint="eastAsia"/>
        </w:rPr>
      </w:pPr>
      <w:r>
        <w:rPr>
          <w:rFonts w:ascii="仿宋_GB2312" w:hAnsi="宋体" w:hint="eastAsia"/>
        </w:rPr>
        <w:t>6.确保经费投入。申报单位要明确资金配比，保证项目高质量建设。</w:t>
      </w:r>
    </w:p>
    <w:p w:rsidR="00B444A1" w:rsidRDefault="00B444A1" w:rsidP="00B444A1">
      <w:pPr>
        <w:adjustRightInd w:val="0"/>
        <w:ind w:firstLineChars="200" w:firstLine="600"/>
        <w:rPr>
          <w:rFonts w:ascii="黑体" w:eastAsia="黑体" w:hAnsi="宋体" w:hint="eastAsia"/>
        </w:rPr>
      </w:pPr>
      <w:r>
        <w:rPr>
          <w:rFonts w:ascii="黑体" w:eastAsia="黑体" w:hAnsi="宋体" w:hint="eastAsia"/>
        </w:rPr>
        <w:t>二、申报和立项程序</w:t>
      </w:r>
    </w:p>
    <w:p w:rsidR="00B444A1" w:rsidRDefault="00B444A1" w:rsidP="00B444A1">
      <w:pPr>
        <w:pStyle w:val="a4"/>
        <w:adjustRightInd w:val="0"/>
        <w:ind w:firstLine="600"/>
        <w:rPr>
          <w:rFonts w:ascii="仿宋_GB2312" w:hAnsi="宋体" w:hint="eastAsia"/>
        </w:rPr>
      </w:pPr>
      <w:r>
        <w:rPr>
          <w:rFonts w:ascii="仿宋_GB2312" w:hAnsi="宋体" w:hint="eastAsia"/>
        </w:rPr>
        <w:t>1.教育厅根据年度建设计划和建设重点下发申报通知，明确重点立项专业、申报指标和立项数量。</w:t>
      </w:r>
    </w:p>
    <w:p w:rsidR="00B444A1" w:rsidRDefault="00B444A1" w:rsidP="00B444A1">
      <w:pPr>
        <w:adjustRightInd w:val="0"/>
        <w:ind w:firstLineChars="200" w:firstLine="600"/>
        <w:rPr>
          <w:rFonts w:ascii="仿宋_GB2312" w:hAnsi="宋体" w:hint="eastAsia"/>
        </w:rPr>
      </w:pPr>
      <w:r>
        <w:rPr>
          <w:rFonts w:ascii="仿宋_GB2312" w:hAnsi="宋体" w:hint="eastAsia"/>
        </w:rPr>
        <w:t>2.</w:t>
      </w:r>
      <w:r>
        <w:rPr>
          <w:rFonts w:ascii="仿宋_GB2312" w:hint="eastAsia"/>
        </w:rPr>
        <w:t>各高职院校（或专业学会）根据申报原则和教育厅文件要求，组织申报，并在线</w:t>
      </w:r>
      <w:r>
        <w:rPr>
          <w:rFonts w:ascii="仿宋_GB2312" w:hAnsi="宋体" w:cs="Calibri" w:hint="eastAsia"/>
        </w:rPr>
        <w:t>完善课程资源。</w:t>
      </w:r>
    </w:p>
    <w:p w:rsidR="00B444A1" w:rsidRDefault="00B444A1" w:rsidP="00B444A1">
      <w:pPr>
        <w:adjustRightInd w:val="0"/>
        <w:ind w:firstLineChars="200" w:firstLine="600"/>
        <w:rPr>
          <w:rFonts w:ascii="仿宋_GB2312" w:cs="Calibri" w:hint="eastAsia"/>
        </w:rPr>
      </w:pPr>
      <w:r>
        <w:rPr>
          <w:rFonts w:ascii="仿宋_GB2312" w:hAnsi="宋体" w:hint="eastAsia"/>
        </w:rPr>
        <w:t>3.</w:t>
      </w:r>
      <w:r>
        <w:rPr>
          <w:rFonts w:ascii="仿宋_GB2312" w:hAnsi="宋体" w:cs="Calibri" w:hint="eastAsia"/>
        </w:rPr>
        <w:t>教育厅组织</w:t>
      </w:r>
      <w:r>
        <w:rPr>
          <w:rFonts w:ascii="仿宋_GB2312" w:hAnsi="宋体" w:hint="eastAsia"/>
        </w:rPr>
        <w:t>立体化教材项目建设专家委员会</w:t>
      </w:r>
      <w:r>
        <w:rPr>
          <w:rFonts w:ascii="仿宋_GB2312" w:hAnsi="宋体" w:cs="Calibri" w:hint="eastAsia"/>
        </w:rPr>
        <w:t>依据评审标准进行网上评审。</w:t>
      </w:r>
    </w:p>
    <w:p w:rsidR="00B444A1" w:rsidRDefault="00B444A1" w:rsidP="00B444A1">
      <w:pPr>
        <w:adjustRightInd w:val="0"/>
        <w:ind w:firstLineChars="200" w:firstLine="600"/>
        <w:rPr>
          <w:rFonts w:ascii="仿宋_GB2312" w:hAnsi="宋体" w:cs="Calibri" w:hint="eastAsia"/>
        </w:rPr>
      </w:pPr>
      <w:r>
        <w:rPr>
          <w:rFonts w:ascii="仿宋_GB2312" w:hAnsi="宋体" w:cs="Calibri" w:hint="eastAsia"/>
        </w:rPr>
        <w:t>4.教育厅组织专家组进行会议评审，项目负责人现场答辩。</w:t>
      </w:r>
    </w:p>
    <w:p w:rsidR="00B444A1" w:rsidRDefault="00B444A1" w:rsidP="00B444A1">
      <w:pPr>
        <w:adjustRightInd w:val="0"/>
        <w:ind w:firstLineChars="200" w:firstLine="600"/>
        <w:rPr>
          <w:rFonts w:ascii="仿宋_GB2312" w:hAnsi="宋体" w:cs="Calibri" w:hint="eastAsia"/>
        </w:rPr>
      </w:pPr>
      <w:r>
        <w:rPr>
          <w:rFonts w:ascii="仿宋_GB2312" w:hAnsi="宋体" w:cs="Calibri" w:hint="eastAsia"/>
        </w:rPr>
        <w:t>5.公示公布。</w:t>
      </w:r>
      <w:r>
        <w:rPr>
          <w:rFonts w:ascii="仿宋_GB2312" w:hint="eastAsia"/>
        </w:rPr>
        <w:t>专家组</w:t>
      </w:r>
      <w:r>
        <w:rPr>
          <w:rFonts w:ascii="仿宋_GB2312" w:hAnsi="宋体" w:cs="Calibri" w:hint="eastAsia"/>
        </w:rPr>
        <w:t>确定立项名单，教育厅</w:t>
      </w:r>
      <w:r>
        <w:rPr>
          <w:rFonts w:ascii="仿宋_GB2312" w:hint="eastAsia"/>
        </w:rPr>
        <w:t>审核后</w:t>
      </w:r>
      <w:r>
        <w:rPr>
          <w:rFonts w:ascii="仿宋_GB2312" w:hAnsi="宋体" w:cs="Calibri" w:hint="eastAsia"/>
        </w:rPr>
        <w:t>公示，公示无异议予以公布立项。</w:t>
      </w:r>
    </w:p>
    <w:p w:rsidR="00B444A1" w:rsidRDefault="00B444A1" w:rsidP="00B444A1">
      <w:pPr>
        <w:pStyle w:val="a4"/>
        <w:adjustRightInd w:val="0"/>
        <w:ind w:firstLineChars="0" w:firstLine="0"/>
        <w:jc w:val="center"/>
        <w:rPr>
          <w:rFonts w:ascii="黑体" w:eastAsia="黑体" w:hAnsi="黑体" w:cs="宋体" w:hint="eastAsia"/>
          <w:kern w:val="0"/>
        </w:rPr>
      </w:pPr>
      <w:r>
        <w:rPr>
          <w:rFonts w:ascii="黑体" w:eastAsia="黑体" w:hAnsi="黑体" w:cs="宋体" w:hint="eastAsia"/>
          <w:kern w:val="0"/>
        </w:rPr>
        <w:t>第四章  建设实施</w:t>
      </w:r>
    </w:p>
    <w:p w:rsidR="00B444A1" w:rsidRDefault="00B444A1" w:rsidP="00B444A1">
      <w:pPr>
        <w:adjustRightInd w:val="0"/>
        <w:ind w:firstLineChars="200" w:firstLine="600"/>
        <w:rPr>
          <w:rFonts w:ascii="黑体" w:eastAsia="黑体" w:hAnsi="宋体" w:cs="Calibri" w:hint="eastAsia"/>
        </w:rPr>
      </w:pPr>
      <w:r>
        <w:rPr>
          <w:rFonts w:ascii="黑体" w:eastAsia="黑体" w:hAnsi="宋体" w:cs="Calibri" w:hint="eastAsia"/>
        </w:rPr>
        <w:t>一、建设要求</w:t>
      </w:r>
    </w:p>
    <w:p w:rsidR="00B444A1" w:rsidRDefault="00B444A1" w:rsidP="00B444A1">
      <w:pPr>
        <w:adjustRightInd w:val="0"/>
        <w:ind w:firstLineChars="200" w:firstLine="600"/>
        <w:rPr>
          <w:rFonts w:ascii="仿宋_GB2312" w:hAnsi="宋体" w:cs="Calibri" w:hint="eastAsia"/>
        </w:rPr>
      </w:pPr>
      <w:r>
        <w:rPr>
          <w:rFonts w:ascii="仿宋_GB2312" w:hAnsi="宋体" w:cs="Calibri" w:hint="eastAsia"/>
        </w:rPr>
        <w:lastRenderedPageBreak/>
        <w:t>1.基本要求</w:t>
      </w:r>
    </w:p>
    <w:p w:rsidR="00B444A1" w:rsidRDefault="00B444A1" w:rsidP="00B444A1">
      <w:pPr>
        <w:adjustRightInd w:val="0"/>
        <w:ind w:firstLineChars="200" w:firstLine="600"/>
        <w:rPr>
          <w:rFonts w:ascii="仿宋_GB2312" w:hAnsi="宋体" w:cs="Calibri" w:hint="eastAsia"/>
        </w:rPr>
      </w:pPr>
      <w:r>
        <w:rPr>
          <w:rFonts w:ascii="仿宋_GB2312" w:hAnsi="宋体" w:cs="Calibri" w:hint="eastAsia"/>
        </w:rPr>
        <w:t>（1）符合国家有关法律、法规、方针政策，无政治性、科学性错误。</w:t>
      </w:r>
    </w:p>
    <w:p w:rsidR="00B444A1" w:rsidRDefault="00B444A1" w:rsidP="00B444A1">
      <w:pPr>
        <w:adjustRightInd w:val="0"/>
        <w:ind w:firstLineChars="200" w:firstLine="600"/>
        <w:rPr>
          <w:rFonts w:ascii="仿宋_GB2312" w:hAnsi="宋体" w:cs="Calibri" w:hint="eastAsia"/>
        </w:rPr>
      </w:pPr>
      <w:r>
        <w:rPr>
          <w:rFonts w:ascii="仿宋_GB2312" w:hAnsi="宋体" w:cs="Calibri" w:hint="eastAsia"/>
        </w:rPr>
        <w:t>（2）具有合法清晰的知识产权，不得存在侵权行为。</w:t>
      </w:r>
    </w:p>
    <w:p w:rsidR="00B444A1" w:rsidRDefault="00B444A1" w:rsidP="00B444A1">
      <w:pPr>
        <w:adjustRightInd w:val="0"/>
        <w:ind w:firstLineChars="200" w:firstLine="600"/>
        <w:rPr>
          <w:rFonts w:ascii="仿宋_GB2312" w:hAnsi="宋体" w:cs="Calibri" w:hint="eastAsia"/>
        </w:rPr>
      </w:pPr>
      <w:r>
        <w:rPr>
          <w:rFonts w:ascii="仿宋_GB2312" w:hAnsi="宋体" w:cs="Calibri" w:hint="eastAsia"/>
        </w:rPr>
        <w:t>（3）具有一定的创新性、系统性。</w:t>
      </w:r>
    </w:p>
    <w:p w:rsidR="00B444A1" w:rsidRDefault="00B444A1" w:rsidP="00B444A1">
      <w:pPr>
        <w:adjustRightInd w:val="0"/>
        <w:ind w:firstLineChars="200" w:firstLine="600"/>
        <w:rPr>
          <w:rFonts w:ascii="仿宋_GB2312" w:hAnsi="宋体" w:cs="Calibri" w:hint="eastAsia"/>
        </w:rPr>
      </w:pPr>
      <w:r>
        <w:rPr>
          <w:rFonts w:ascii="仿宋_GB2312" w:hAnsi="宋体" w:cs="Calibri" w:hint="eastAsia"/>
        </w:rPr>
        <w:t>2.教学要求</w:t>
      </w:r>
    </w:p>
    <w:p w:rsidR="00B444A1" w:rsidRDefault="00B444A1" w:rsidP="00B444A1">
      <w:pPr>
        <w:adjustRightInd w:val="0"/>
        <w:ind w:firstLineChars="200" w:firstLine="600"/>
        <w:rPr>
          <w:rFonts w:ascii="仿宋_GB2312" w:hAnsi="宋体" w:cs="Calibri" w:hint="eastAsia"/>
        </w:rPr>
      </w:pPr>
      <w:r>
        <w:rPr>
          <w:rFonts w:ascii="仿宋_GB2312" w:hAnsi="宋体" w:cs="Calibri" w:hint="eastAsia"/>
        </w:rPr>
        <w:t>（1）能够满足建立现代职业教育体系的要求，突出高等职业教育实践性特色，支撑职业教育教学、实训、实习等关键环节，以满足各类专业核心课程教学需要。</w:t>
      </w:r>
    </w:p>
    <w:p w:rsidR="00B444A1" w:rsidRDefault="00B444A1" w:rsidP="00B444A1">
      <w:pPr>
        <w:adjustRightInd w:val="0"/>
        <w:ind w:firstLineChars="200" w:firstLine="600"/>
        <w:rPr>
          <w:rFonts w:ascii="仿宋_GB2312" w:hAnsi="宋体" w:cs="Calibri" w:hint="eastAsia"/>
        </w:rPr>
      </w:pPr>
      <w:r>
        <w:rPr>
          <w:rFonts w:ascii="仿宋_GB2312" w:hAnsi="宋体" w:cs="Calibri" w:hint="eastAsia"/>
        </w:rPr>
        <w:t>（2）以理念创新为先导，以学习方式和教育模式创新为核心，逐步形成能够方便查找，促进学生主动、有效学习的立体化教材。体现信息技术发展的最新成果，促进教学方式变革和人才培养模式创新，引领启发式教学、参与式学习、自主学习、探究学习和合作学习。</w:t>
      </w:r>
    </w:p>
    <w:p w:rsidR="00B444A1" w:rsidRDefault="00B444A1" w:rsidP="00B444A1">
      <w:pPr>
        <w:adjustRightInd w:val="0"/>
        <w:ind w:firstLineChars="200" w:firstLine="600"/>
        <w:rPr>
          <w:rFonts w:ascii="仿宋_GB2312" w:hAnsi="宋体" w:cs="Calibri" w:hint="eastAsia"/>
        </w:rPr>
      </w:pPr>
      <w:r>
        <w:rPr>
          <w:rFonts w:ascii="仿宋_GB2312" w:hAnsi="宋体" w:cs="Calibri" w:hint="eastAsia"/>
        </w:rPr>
        <w:t>（3）对接职业标准和岗位要求，及时吸收行业发展的新知识、新技术、新工艺和新方法。</w:t>
      </w:r>
    </w:p>
    <w:p w:rsidR="00B444A1" w:rsidRDefault="00B444A1" w:rsidP="00B444A1">
      <w:pPr>
        <w:adjustRightInd w:val="0"/>
        <w:ind w:firstLineChars="200" w:firstLine="600"/>
        <w:rPr>
          <w:rFonts w:ascii="仿宋_GB2312" w:hAnsi="宋体" w:cs="Calibri" w:hint="eastAsia"/>
        </w:rPr>
      </w:pPr>
      <w:r>
        <w:rPr>
          <w:rFonts w:ascii="仿宋_GB2312" w:hAnsi="宋体" w:cs="Calibri" w:hint="eastAsia"/>
        </w:rPr>
        <w:t>3.制作要求</w:t>
      </w:r>
    </w:p>
    <w:p w:rsidR="00B444A1" w:rsidRDefault="00B444A1" w:rsidP="00B444A1">
      <w:pPr>
        <w:adjustRightInd w:val="0"/>
        <w:ind w:firstLineChars="200" w:firstLine="600"/>
        <w:rPr>
          <w:rFonts w:ascii="仿宋_GB2312" w:hAnsi="宋体" w:cs="Calibri" w:hint="eastAsia"/>
        </w:rPr>
      </w:pPr>
      <w:r>
        <w:rPr>
          <w:rFonts w:ascii="仿宋_GB2312" w:hAnsi="宋体" w:cs="Calibri" w:hint="eastAsia"/>
        </w:rPr>
        <w:t>将信息技术与纸质教材有机结合，体现先进性、实用性、标准化、通用性、安全性、易维护性：</w:t>
      </w:r>
    </w:p>
    <w:p w:rsidR="00B444A1" w:rsidRDefault="00B444A1" w:rsidP="00B444A1">
      <w:pPr>
        <w:adjustRightInd w:val="0"/>
        <w:ind w:firstLineChars="200" w:firstLine="600"/>
        <w:rPr>
          <w:rFonts w:ascii="仿宋_GB2312" w:hAnsi="宋体" w:cs="Calibri" w:hint="eastAsia"/>
        </w:rPr>
      </w:pPr>
      <w:r>
        <w:rPr>
          <w:rFonts w:ascii="仿宋_GB2312" w:hAnsi="宋体" w:cs="Calibri" w:hint="eastAsia"/>
        </w:rPr>
        <w:t>（1）先进性：注重内容创新，采用识别图或者二维码等先进技术与设计方法，实现纸质教材基本稳定、教学内容动态更新，确保长期有效使用。</w:t>
      </w:r>
    </w:p>
    <w:p w:rsidR="00B444A1" w:rsidRDefault="00B444A1" w:rsidP="00B444A1">
      <w:pPr>
        <w:adjustRightInd w:val="0"/>
        <w:ind w:firstLineChars="200" w:firstLine="600"/>
        <w:rPr>
          <w:rFonts w:ascii="仿宋_GB2312" w:hAnsi="宋体" w:cs="Calibri" w:hint="eastAsia"/>
        </w:rPr>
      </w:pPr>
      <w:r>
        <w:rPr>
          <w:rFonts w:ascii="仿宋_GB2312" w:hAnsi="宋体" w:cs="Calibri" w:hint="eastAsia"/>
        </w:rPr>
        <w:lastRenderedPageBreak/>
        <w:t>（2）实用性：坚持应用导向，服务教学实际需求。</w:t>
      </w:r>
    </w:p>
    <w:p w:rsidR="00B444A1" w:rsidRDefault="00B444A1" w:rsidP="00B444A1">
      <w:pPr>
        <w:adjustRightInd w:val="0"/>
        <w:ind w:firstLineChars="200" w:firstLine="600"/>
        <w:rPr>
          <w:rFonts w:ascii="仿宋_GB2312" w:hAnsi="宋体" w:cs="Calibri" w:hint="eastAsia"/>
        </w:rPr>
      </w:pPr>
      <w:r>
        <w:rPr>
          <w:rFonts w:ascii="仿宋_GB2312" w:hAnsi="宋体" w:cs="Calibri" w:hint="eastAsia"/>
        </w:rPr>
        <w:t>（3）通用性：支持跨平台应用，数字资源能在流行的Android、IOS和PC等典型硬件环境中运行。</w:t>
      </w:r>
    </w:p>
    <w:p w:rsidR="00B444A1" w:rsidRDefault="00B444A1" w:rsidP="00B444A1">
      <w:pPr>
        <w:adjustRightInd w:val="0"/>
        <w:ind w:firstLineChars="200" w:firstLine="600"/>
        <w:rPr>
          <w:rFonts w:ascii="仿宋_GB2312" w:hAnsi="宋体" w:cs="Calibri" w:hint="eastAsia"/>
        </w:rPr>
      </w:pPr>
      <w:r>
        <w:rPr>
          <w:rFonts w:ascii="仿宋_GB2312" w:hAnsi="宋体" w:cs="Calibri" w:hint="eastAsia"/>
        </w:rPr>
        <w:t>（4）标准化：资源建设要充分包含教学重点和难点，微课、动画和虚拟模型的交互操作等辅助讲解符合通用规范，便于读者理解接受。</w:t>
      </w:r>
    </w:p>
    <w:p w:rsidR="00B444A1" w:rsidRDefault="00B444A1" w:rsidP="00B444A1">
      <w:pPr>
        <w:adjustRightInd w:val="0"/>
        <w:ind w:firstLineChars="200" w:firstLine="600"/>
        <w:rPr>
          <w:rFonts w:ascii="仿宋_GB2312" w:hAnsi="宋体" w:cs="Calibri" w:hint="eastAsia"/>
        </w:rPr>
      </w:pPr>
      <w:r>
        <w:rPr>
          <w:rFonts w:ascii="仿宋_GB2312" w:hAnsi="宋体" w:cs="Calibri" w:hint="eastAsia"/>
        </w:rPr>
        <w:t>4.技术要求</w:t>
      </w:r>
    </w:p>
    <w:p w:rsidR="00B444A1" w:rsidRDefault="00B444A1" w:rsidP="00B444A1">
      <w:pPr>
        <w:adjustRightInd w:val="0"/>
        <w:ind w:firstLineChars="200" w:firstLine="600"/>
        <w:rPr>
          <w:rFonts w:hint="eastAsia"/>
        </w:rPr>
      </w:pPr>
      <w:r>
        <w:rPr>
          <w:rFonts w:ascii="仿宋_GB2312" w:hAnsi="宋体" w:cs="Calibri" w:hint="eastAsia"/>
        </w:rPr>
        <w:t>参照《河南省“十三五”高等职业教育立体化教材制作标准》执行（详见《河南省教育厅关于开展2017年度高职院校立体化教材建设工作的通知》（教高〔2017〕378号）。</w:t>
      </w:r>
    </w:p>
    <w:p w:rsidR="00B444A1" w:rsidRDefault="00B444A1" w:rsidP="00B444A1">
      <w:pPr>
        <w:adjustRightInd w:val="0"/>
        <w:ind w:firstLineChars="200" w:firstLine="600"/>
        <w:rPr>
          <w:rFonts w:ascii="黑体" w:eastAsia="黑体" w:hAnsi="宋体" w:cs="Calibri"/>
        </w:rPr>
      </w:pPr>
      <w:r>
        <w:rPr>
          <w:rFonts w:ascii="黑体" w:eastAsia="黑体" w:hAnsi="宋体" w:cs="Calibri" w:hint="eastAsia"/>
        </w:rPr>
        <w:t>二、建设周期</w:t>
      </w:r>
    </w:p>
    <w:p w:rsidR="00B444A1" w:rsidRDefault="00B444A1" w:rsidP="00B444A1">
      <w:pPr>
        <w:adjustRightInd w:val="0"/>
        <w:ind w:firstLineChars="200" w:firstLine="600"/>
        <w:rPr>
          <w:rFonts w:ascii="仿宋_GB2312" w:cs="Calibri" w:hint="eastAsia"/>
        </w:rPr>
      </w:pPr>
      <w:r>
        <w:rPr>
          <w:rFonts w:ascii="仿宋_GB2312" w:cs="Calibri" w:hint="eastAsia"/>
        </w:rPr>
        <w:t>立体化教材项目建设周期为1年。验收暂缓通过的项目，建设周期最多延长3个月；验收不予通过的项目，建设周期最多延长半年。</w:t>
      </w:r>
    </w:p>
    <w:p w:rsidR="00B444A1" w:rsidRDefault="00B444A1" w:rsidP="00B444A1">
      <w:pPr>
        <w:adjustRightInd w:val="0"/>
        <w:ind w:firstLineChars="200" w:firstLine="600"/>
        <w:rPr>
          <w:rFonts w:ascii="黑体" w:eastAsia="黑体" w:cs="Calibri" w:hint="eastAsia"/>
        </w:rPr>
      </w:pPr>
      <w:r>
        <w:rPr>
          <w:rFonts w:ascii="黑体" w:eastAsia="黑体" w:cs="Calibri" w:hint="eastAsia"/>
        </w:rPr>
        <w:t>三、</w:t>
      </w:r>
      <w:r>
        <w:rPr>
          <w:rFonts w:ascii="黑体" w:eastAsia="黑体" w:hAnsi="宋体" w:cs="宋体" w:hint="eastAsia"/>
          <w:kern w:val="0"/>
        </w:rPr>
        <w:t>建设流程</w:t>
      </w:r>
    </w:p>
    <w:p w:rsidR="00B444A1" w:rsidRDefault="00B444A1" w:rsidP="00B444A1">
      <w:pPr>
        <w:adjustRightInd w:val="0"/>
        <w:ind w:firstLineChars="200" w:firstLine="600"/>
        <w:rPr>
          <w:rFonts w:ascii="仿宋_GB2312" w:cs="Calibri" w:hint="eastAsia"/>
        </w:rPr>
      </w:pPr>
      <w:r>
        <w:rPr>
          <w:rFonts w:ascii="仿宋_GB2312" w:cs="Calibri" w:hint="eastAsia"/>
        </w:rPr>
        <w:t>立体化教材重点是开发建设数字化资源，项目单位要组建开发团队，重点建设体现教学特色、适应教学需要的课件、题库、视频、微课、动画等生动丰富的数字化资源。</w:t>
      </w:r>
    </w:p>
    <w:p w:rsidR="00B444A1" w:rsidRDefault="00B444A1" w:rsidP="00B444A1">
      <w:pPr>
        <w:adjustRightInd w:val="0"/>
        <w:ind w:firstLineChars="200" w:firstLine="600"/>
        <w:rPr>
          <w:rFonts w:ascii="仿宋_GB2312" w:hint="eastAsia"/>
        </w:rPr>
      </w:pPr>
      <w:r>
        <w:rPr>
          <w:rFonts w:ascii="仿宋_GB2312" w:hint="eastAsia"/>
        </w:rPr>
        <w:t>1.设计课程。项目团队按照《河南省“十三五”高等职业教育立体化教材制作标准》进行课程设计，包括</w:t>
      </w:r>
      <w:r>
        <w:rPr>
          <w:rFonts w:ascii="仿宋_GB2312" w:hAnsi="宋体" w:hint="eastAsia"/>
        </w:rPr>
        <w:t>教材内容设计、表现形式设计以及素材脚本设计，</w:t>
      </w:r>
      <w:r>
        <w:rPr>
          <w:rFonts w:ascii="仿宋_GB2312" w:hint="eastAsia"/>
        </w:rPr>
        <w:t>形成完整电子书稿和资源列表。教材内容要体现创新性和完整性，资源列表要体现主要知识点、</w:t>
      </w:r>
      <w:r>
        <w:rPr>
          <w:rFonts w:ascii="仿宋_GB2312" w:hint="eastAsia"/>
        </w:rPr>
        <w:lastRenderedPageBreak/>
        <w:t>技能点、和重难点，其中资源列表要明确对应数字资源的呈现形式（如微课、视频、动画等）。</w:t>
      </w:r>
    </w:p>
    <w:p w:rsidR="00B444A1" w:rsidRDefault="00B444A1" w:rsidP="00B444A1">
      <w:pPr>
        <w:adjustRightInd w:val="0"/>
        <w:ind w:firstLineChars="200" w:firstLine="600"/>
        <w:rPr>
          <w:rFonts w:ascii="仿宋_GB2312" w:hint="eastAsia"/>
        </w:rPr>
      </w:pPr>
      <w:r>
        <w:rPr>
          <w:rFonts w:ascii="仿宋_GB2312" w:hint="eastAsia"/>
        </w:rPr>
        <w:t>2.签订合同。通过询价、招标或其他形式确定技术服务公司并签订技术服务合同。</w:t>
      </w:r>
    </w:p>
    <w:p w:rsidR="00B444A1" w:rsidRDefault="00B444A1" w:rsidP="00B444A1">
      <w:pPr>
        <w:adjustRightInd w:val="0"/>
        <w:ind w:firstLineChars="200" w:firstLine="600"/>
        <w:rPr>
          <w:rFonts w:ascii="仿宋_GB2312" w:hint="eastAsia"/>
        </w:rPr>
      </w:pPr>
      <w:r>
        <w:rPr>
          <w:rFonts w:ascii="仿宋_GB2312" w:hint="eastAsia"/>
        </w:rPr>
        <w:t>3.准备脚本。按照课程设计的要求，准备资源制作脚本。</w:t>
      </w:r>
    </w:p>
    <w:p w:rsidR="00B444A1" w:rsidRDefault="00B444A1" w:rsidP="00B444A1">
      <w:pPr>
        <w:adjustRightInd w:val="0"/>
        <w:ind w:firstLineChars="200" w:firstLine="600"/>
        <w:rPr>
          <w:rFonts w:ascii="仿宋_GB2312" w:hint="eastAsia"/>
          <w:spacing w:val="-8"/>
        </w:rPr>
      </w:pPr>
      <w:r>
        <w:rPr>
          <w:rFonts w:ascii="仿宋_GB2312" w:hint="eastAsia"/>
        </w:rPr>
        <w:t>4.</w:t>
      </w:r>
      <w:r>
        <w:rPr>
          <w:rFonts w:ascii="仿宋_GB2312" w:hint="eastAsia"/>
          <w:spacing w:val="-8"/>
        </w:rPr>
        <w:t>制作资源。按照脚本和技术服务合同的要求制作数字资源。</w:t>
      </w:r>
    </w:p>
    <w:p w:rsidR="00B444A1" w:rsidRDefault="00B444A1" w:rsidP="00B444A1">
      <w:pPr>
        <w:adjustRightInd w:val="0"/>
        <w:ind w:firstLineChars="200" w:firstLine="600"/>
        <w:rPr>
          <w:rFonts w:ascii="仿宋_GB2312" w:hint="eastAsia"/>
        </w:rPr>
      </w:pPr>
      <w:r>
        <w:rPr>
          <w:rFonts w:ascii="仿宋_GB2312" w:hint="eastAsia"/>
        </w:rPr>
        <w:t>5.上传资源。技术公司或者项目负责人将制作好的数字资源完整上传至河南省职业教育数字资源公共服务云平台——职教云学院（</w:t>
      </w:r>
      <w:hyperlink r:id="rId4" w:history="1">
        <w:r>
          <w:rPr>
            <w:rStyle w:val="a5"/>
            <w:rFonts w:ascii="仿宋_GB2312" w:hint="eastAsia"/>
          </w:rPr>
          <w:t>www.zhijiaoyxy.com</w:t>
        </w:r>
      </w:hyperlink>
      <w:r>
        <w:rPr>
          <w:rFonts w:ascii="仿宋_GB2312" w:hint="eastAsia"/>
        </w:rPr>
        <w:t>）。</w:t>
      </w:r>
    </w:p>
    <w:p w:rsidR="00B444A1" w:rsidRDefault="00B444A1" w:rsidP="00B444A1">
      <w:pPr>
        <w:adjustRightInd w:val="0"/>
        <w:ind w:firstLineChars="200" w:firstLine="600"/>
        <w:rPr>
          <w:rFonts w:ascii="仿宋_GB2312" w:hint="eastAsia"/>
        </w:rPr>
      </w:pPr>
      <w:r>
        <w:rPr>
          <w:rFonts w:ascii="仿宋_GB2312" w:hint="eastAsia"/>
        </w:rPr>
        <w:t>6.维护更新。项目负责人和技术公司根据师生反馈等对网上资源进行更新和维护，保证更新及时、运行流畅。</w:t>
      </w:r>
    </w:p>
    <w:p w:rsidR="00B444A1" w:rsidRDefault="00B444A1" w:rsidP="00B444A1">
      <w:pPr>
        <w:adjustRightInd w:val="0"/>
        <w:ind w:firstLineChars="200" w:firstLine="600"/>
        <w:rPr>
          <w:rFonts w:ascii="黑体" w:eastAsia="黑体" w:hAnsi="Dotum" w:hint="eastAsia"/>
        </w:rPr>
      </w:pPr>
      <w:r>
        <w:rPr>
          <w:rFonts w:ascii="黑体" w:eastAsia="黑体" w:hAnsi="Dotum" w:hint="eastAsia"/>
        </w:rPr>
        <w:t>四、资金管理</w:t>
      </w:r>
    </w:p>
    <w:p w:rsidR="00B444A1" w:rsidRDefault="00B444A1" w:rsidP="00B444A1">
      <w:pPr>
        <w:widowControl/>
        <w:adjustRightInd w:val="0"/>
        <w:ind w:firstLineChars="200" w:firstLine="600"/>
        <w:rPr>
          <w:rFonts w:ascii="仿宋_GB2312" w:cs="宋体" w:hint="eastAsia"/>
          <w:kern w:val="0"/>
        </w:rPr>
      </w:pPr>
      <w:r>
        <w:rPr>
          <w:rFonts w:ascii="仿宋_GB2312" w:hAnsi="宋体" w:cs="宋体" w:hint="eastAsia"/>
          <w:kern w:val="0"/>
        </w:rPr>
        <w:t>1.资金来源</w:t>
      </w:r>
    </w:p>
    <w:p w:rsidR="00B444A1" w:rsidRDefault="00B444A1" w:rsidP="00B444A1">
      <w:pPr>
        <w:widowControl/>
        <w:adjustRightInd w:val="0"/>
        <w:ind w:firstLineChars="200" w:firstLine="600"/>
        <w:rPr>
          <w:rFonts w:ascii="仿宋_GB2312" w:cs="宋体" w:hint="eastAsia"/>
          <w:kern w:val="0"/>
        </w:rPr>
      </w:pPr>
      <w:r>
        <w:rPr>
          <w:rFonts w:ascii="仿宋_GB2312" w:hAnsi="宋体" w:cs="宋体" w:hint="eastAsia"/>
          <w:kern w:val="0"/>
        </w:rPr>
        <w:t>建设资金主要包括教育厅引导性资金、立项单位配套资金、项目组自筹资金、河南科学技术出版社投入资金等，并依法依规接受自然人、法人或其他组织的捐赠。</w:t>
      </w:r>
    </w:p>
    <w:p w:rsidR="00B444A1" w:rsidRDefault="00B444A1" w:rsidP="00B444A1">
      <w:pPr>
        <w:widowControl/>
        <w:adjustRightInd w:val="0"/>
        <w:ind w:firstLineChars="200" w:firstLine="600"/>
        <w:rPr>
          <w:rFonts w:ascii="仿宋_GB2312" w:cs="宋体" w:hint="eastAsia"/>
          <w:kern w:val="0"/>
        </w:rPr>
      </w:pPr>
      <w:r>
        <w:rPr>
          <w:rFonts w:ascii="仿宋_GB2312" w:hAnsi="宋体" w:cs="宋体" w:hint="eastAsia"/>
          <w:kern w:val="0"/>
        </w:rPr>
        <w:t>2.使用范围</w:t>
      </w:r>
    </w:p>
    <w:p w:rsidR="00B444A1" w:rsidRDefault="00B444A1" w:rsidP="00B444A1">
      <w:pPr>
        <w:widowControl/>
        <w:adjustRightInd w:val="0"/>
        <w:ind w:firstLineChars="200" w:firstLine="600"/>
        <w:rPr>
          <w:rFonts w:ascii="仿宋_GB2312" w:hAnsi="宋体" w:hint="eastAsia"/>
        </w:rPr>
      </w:pPr>
      <w:r>
        <w:rPr>
          <w:rFonts w:ascii="仿宋_GB2312" w:hAnsi="宋体" w:cs="宋体" w:hint="eastAsia"/>
          <w:kern w:val="0"/>
        </w:rPr>
        <w:t>教育厅引导性资金</w:t>
      </w:r>
      <w:r>
        <w:rPr>
          <w:rFonts w:ascii="仿宋_GB2312" w:hAnsi="宋体" w:hint="eastAsia"/>
        </w:rPr>
        <w:t>、学校配套经费和项目组自筹资金主要用于立体化教材配套数字资源的建设，并按照有关财务管理制度和规定要求执行。河南科学技术出版社投入资金主要用于以下方面：</w:t>
      </w:r>
    </w:p>
    <w:p w:rsidR="00B444A1" w:rsidRDefault="00B444A1" w:rsidP="00B444A1">
      <w:pPr>
        <w:adjustRightInd w:val="0"/>
        <w:ind w:firstLineChars="200" w:firstLine="600"/>
        <w:rPr>
          <w:rFonts w:ascii="仿宋_GB2312" w:hAnsi="宋体" w:hint="eastAsia"/>
        </w:rPr>
      </w:pPr>
      <w:r>
        <w:rPr>
          <w:rFonts w:ascii="仿宋_GB2312" w:hAnsi="宋体" w:hint="eastAsia"/>
        </w:rPr>
        <w:t>项目启动费。河南科学技术出版社与项目第一申报单位签订出版合同，支付立项项目启动经费。</w:t>
      </w:r>
    </w:p>
    <w:p w:rsidR="00B444A1" w:rsidRDefault="00B444A1" w:rsidP="00B444A1">
      <w:pPr>
        <w:adjustRightInd w:val="0"/>
        <w:ind w:firstLineChars="200" w:firstLine="600"/>
        <w:rPr>
          <w:rFonts w:ascii="仿宋_GB2312" w:hAnsi="宋体" w:hint="eastAsia"/>
        </w:rPr>
      </w:pPr>
      <w:r>
        <w:rPr>
          <w:rFonts w:ascii="仿宋_GB2312" w:hAnsi="宋体" w:hint="eastAsia"/>
        </w:rPr>
        <w:lastRenderedPageBreak/>
        <w:t>平台及手机APP的运营与维护费。</w:t>
      </w:r>
      <w:r>
        <w:rPr>
          <w:rFonts w:ascii="仿宋_GB2312" w:hint="eastAsia"/>
        </w:rPr>
        <w:t>职教云学院的运营与维护</w:t>
      </w:r>
      <w:r>
        <w:rPr>
          <w:rFonts w:ascii="仿宋_GB2312" w:hAnsi="宋体" w:hint="eastAsia"/>
        </w:rPr>
        <w:t>、手机APP的开发与运营、数字资源的审核等。</w:t>
      </w:r>
    </w:p>
    <w:p w:rsidR="00B444A1" w:rsidRDefault="00B444A1" w:rsidP="00B444A1">
      <w:pPr>
        <w:adjustRightInd w:val="0"/>
        <w:ind w:firstLineChars="200" w:firstLine="600"/>
        <w:rPr>
          <w:rFonts w:ascii="仿宋_GB2312" w:hAnsi="宋体" w:hint="eastAsia"/>
        </w:rPr>
      </w:pPr>
      <w:r>
        <w:rPr>
          <w:rFonts w:ascii="仿宋_GB2312" w:hAnsi="宋体" w:hint="eastAsia"/>
        </w:rPr>
        <w:t>编辑出版费。立体化教材的编校、排版、制版与印刷等。</w:t>
      </w:r>
    </w:p>
    <w:p w:rsidR="00B444A1" w:rsidRDefault="00B444A1" w:rsidP="00B444A1">
      <w:pPr>
        <w:adjustRightInd w:val="0"/>
        <w:ind w:firstLineChars="200" w:firstLine="600"/>
        <w:rPr>
          <w:rFonts w:ascii="仿宋_GB2312" w:hint="eastAsia"/>
        </w:rPr>
      </w:pPr>
      <w:r>
        <w:rPr>
          <w:rFonts w:ascii="仿宋_GB2312" w:hAnsi="宋体" w:hint="eastAsia"/>
        </w:rPr>
        <w:t>其他费用。项目培训、评审、奖励以及会议费用等。</w:t>
      </w:r>
    </w:p>
    <w:p w:rsidR="00B444A1" w:rsidRDefault="00B444A1" w:rsidP="00B444A1">
      <w:pPr>
        <w:widowControl/>
        <w:adjustRightInd w:val="0"/>
        <w:ind w:firstLineChars="200" w:firstLine="600"/>
        <w:rPr>
          <w:rFonts w:ascii="仿宋_GB2312" w:cs="宋体" w:hint="eastAsia"/>
          <w:kern w:val="0"/>
        </w:rPr>
      </w:pPr>
      <w:r>
        <w:rPr>
          <w:rFonts w:ascii="仿宋_GB2312" w:hAnsi="宋体" w:cs="宋体" w:hint="eastAsia"/>
          <w:kern w:val="0"/>
        </w:rPr>
        <w:t>3.使用原则</w:t>
      </w:r>
    </w:p>
    <w:p w:rsidR="00B444A1" w:rsidRDefault="00B444A1" w:rsidP="00B444A1">
      <w:pPr>
        <w:widowControl/>
        <w:adjustRightInd w:val="0"/>
        <w:ind w:firstLineChars="200" w:firstLine="600"/>
        <w:rPr>
          <w:rFonts w:ascii="仿宋_GB2312" w:cs="宋体" w:hint="eastAsia"/>
          <w:kern w:val="0"/>
        </w:rPr>
      </w:pPr>
      <w:r>
        <w:rPr>
          <w:rFonts w:ascii="仿宋_GB2312" w:hAnsi="宋体" w:cs="宋体" w:hint="eastAsia"/>
          <w:kern w:val="0"/>
        </w:rPr>
        <w:t>（1）规范使用。强化制度约束，加强预算控制，规范会计核算与监督，确保专款专用、专账核算。</w:t>
      </w:r>
    </w:p>
    <w:p w:rsidR="00B444A1" w:rsidRDefault="00B444A1" w:rsidP="00B444A1">
      <w:pPr>
        <w:widowControl/>
        <w:adjustRightInd w:val="0"/>
        <w:ind w:firstLineChars="200" w:firstLine="600"/>
        <w:rPr>
          <w:rFonts w:ascii="仿宋_GB2312" w:cs="宋体" w:hint="eastAsia"/>
          <w:kern w:val="0"/>
        </w:rPr>
      </w:pPr>
      <w:r>
        <w:rPr>
          <w:rFonts w:ascii="仿宋_GB2312" w:hAnsi="宋体" w:cs="宋体" w:hint="eastAsia"/>
          <w:kern w:val="0"/>
        </w:rPr>
        <w:t>（2）统一管理。联合申报的项目，第一主编单位对建设资金使用与管理的真实性、规范性、安全性和有效性负责。</w:t>
      </w:r>
    </w:p>
    <w:p w:rsidR="00B444A1" w:rsidRDefault="00B444A1" w:rsidP="00B444A1">
      <w:pPr>
        <w:widowControl/>
        <w:adjustRightInd w:val="0"/>
        <w:ind w:firstLineChars="200" w:firstLine="600"/>
        <w:rPr>
          <w:rFonts w:ascii="仿宋_GB2312" w:cs="宋体" w:hint="eastAsia"/>
          <w:kern w:val="0"/>
        </w:rPr>
      </w:pPr>
      <w:r>
        <w:rPr>
          <w:rFonts w:ascii="仿宋_GB2312" w:hAnsi="宋体" w:cs="宋体" w:hint="eastAsia"/>
          <w:kern w:val="0"/>
        </w:rPr>
        <w:t>（3）保证效益。教育厅对项目建设情况经行不定期跟踪检查，发现有下列情形之一者，追回已拨经费，并取消项目承担单位1至3年立体化教材项目的申报资格。</w:t>
      </w:r>
    </w:p>
    <w:p w:rsidR="00B444A1" w:rsidRDefault="00B444A1" w:rsidP="00B444A1">
      <w:pPr>
        <w:adjustRightInd w:val="0"/>
        <w:ind w:firstLineChars="200" w:firstLine="600"/>
        <w:rPr>
          <w:rFonts w:ascii="仿宋_GB2312" w:cs="宋体" w:hint="eastAsia"/>
          <w:kern w:val="0"/>
        </w:rPr>
      </w:pPr>
      <w:r>
        <w:rPr>
          <w:rFonts w:ascii="Times New Roman" w:hAnsi="Times New Roman"/>
          <w:kern w:val="0"/>
        </w:rPr>
        <w:t>——</w:t>
      </w:r>
      <w:r>
        <w:rPr>
          <w:rFonts w:ascii="仿宋_GB2312" w:hAnsi="宋体" w:cs="宋体" w:hint="eastAsia"/>
          <w:kern w:val="0"/>
        </w:rPr>
        <w:t>违反《著作权法》《出版管理条例》等法律法规及其他有关规定。</w:t>
      </w:r>
    </w:p>
    <w:p w:rsidR="00B444A1" w:rsidRDefault="00B444A1" w:rsidP="00B444A1">
      <w:pPr>
        <w:adjustRightInd w:val="0"/>
        <w:ind w:firstLineChars="200" w:firstLine="600"/>
        <w:rPr>
          <w:rFonts w:ascii="仿宋_GB2312" w:hint="eastAsia"/>
        </w:rPr>
      </w:pPr>
      <w:r>
        <w:rPr>
          <w:rFonts w:ascii="Times New Roman" w:hAnsi="Times New Roman"/>
          <w:kern w:val="0"/>
        </w:rPr>
        <w:t>——</w:t>
      </w:r>
      <w:r>
        <w:rPr>
          <w:rFonts w:ascii="仿宋_GB2312" w:hAnsi="宋体" w:hint="eastAsia"/>
        </w:rPr>
        <w:t>项目规模大幅缩减等严重质量问题。</w:t>
      </w:r>
    </w:p>
    <w:p w:rsidR="00B444A1" w:rsidRDefault="00B444A1" w:rsidP="00B444A1">
      <w:pPr>
        <w:adjustRightInd w:val="0"/>
        <w:ind w:firstLineChars="200" w:firstLine="600"/>
        <w:rPr>
          <w:rFonts w:ascii="仿宋_GB2312" w:hint="eastAsia"/>
        </w:rPr>
      </w:pPr>
      <w:r>
        <w:rPr>
          <w:rFonts w:ascii="Times New Roman" w:hAnsi="Times New Roman"/>
          <w:kern w:val="0"/>
        </w:rPr>
        <w:t>——</w:t>
      </w:r>
      <w:r>
        <w:rPr>
          <w:rFonts w:ascii="仿宋_GB2312" w:hAnsi="宋体" w:hint="eastAsia"/>
        </w:rPr>
        <w:t>内容严重不符等严重弄虚作假行为。</w:t>
      </w:r>
    </w:p>
    <w:p w:rsidR="00B444A1" w:rsidRDefault="00B444A1" w:rsidP="00B444A1">
      <w:pPr>
        <w:adjustRightInd w:val="0"/>
        <w:ind w:firstLineChars="200" w:firstLine="600"/>
        <w:rPr>
          <w:rFonts w:ascii="仿宋_GB2312" w:hint="eastAsia"/>
        </w:rPr>
      </w:pPr>
      <w:r>
        <w:rPr>
          <w:rFonts w:ascii="Times New Roman" w:hAnsi="Times New Roman"/>
          <w:kern w:val="0"/>
        </w:rPr>
        <w:t>——</w:t>
      </w:r>
      <w:r>
        <w:rPr>
          <w:rFonts w:ascii="仿宋_GB2312" w:hAnsi="宋体" w:hint="eastAsia"/>
        </w:rPr>
        <w:t>多次延期仍不能完成。</w:t>
      </w:r>
    </w:p>
    <w:p w:rsidR="00B444A1" w:rsidRDefault="00B444A1" w:rsidP="00B444A1">
      <w:pPr>
        <w:adjustRightInd w:val="0"/>
        <w:ind w:firstLineChars="200" w:firstLine="600"/>
        <w:rPr>
          <w:rFonts w:ascii="仿宋_GB2312" w:hint="eastAsia"/>
        </w:rPr>
      </w:pPr>
      <w:r>
        <w:rPr>
          <w:rFonts w:ascii="Times New Roman" w:hAnsi="Times New Roman"/>
          <w:kern w:val="0"/>
        </w:rPr>
        <w:t>——</w:t>
      </w:r>
      <w:r>
        <w:rPr>
          <w:rFonts w:ascii="仿宋_GB2312" w:hAnsi="宋体" w:hint="eastAsia"/>
        </w:rPr>
        <w:t>严重违反财务会计制度。</w:t>
      </w:r>
    </w:p>
    <w:p w:rsidR="00B444A1" w:rsidRDefault="00B444A1" w:rsidP="00B444A1">
      <w:pPr>
        <w:adjustRightInd w:val="0"/>
        <w:ind w:firstLineChars="200" w:firstLine="600"/>
        <w:rPr>
          <w:rFonts w:ascii="仿宋_GB2312" w:hint="eastAsia"/>
        </w:rPr>
      </w:pPr>
      <w:r>
        <w:rPr>
          <w:rFonts w:ascii="Times New Roman" w:hAnsi="Times New Roman"/>
          <w:kern w:val="0"/>
        </w:rPr>
        <w:t>——</w:t>
      </w:r>
      <w:r>
        <w:rPr>
          <w:rFonts w:ascii="仿宋_GB2312" w:hAnsi="宋体" w:hint="eastAsia"/>
        </w:rPr>
        <w:t>项目验收不合格。</w:t>
      </w:r>
    </w:p>
    <w:p w:rsidR="00B444A1" w:rsidRDefault="00B444A1" w:rsidP="00B444A1">
      <w:pPr>
        <w:adjustRightInd w:val="0"/>
        <w:ind w:firstLineChars="200" w:firstLine="600"/>
        <w:rPr>
          <w:rFonts w:ascii="仿宋_GB2312" w:hint="eastAsia"/>
        </w:rPr>
      </w:pPr>
      <w:r>
        <w:rPr>
          <w:rFonts w:ascii="Times New Roman" w:hAnsi="Times New Roman"/>
          <w:kern w:val="0"/>
        </w:rPr>
        <w:t>——</w:t>
      </w:r>
      <w:r>
        <w:rPr>
          <w:rFonts w:ascii="仿宋_GB2312" w:hAnsi="宋体" w:hint="eastAsia"/>
        </w:rPr>
        <w:t>项目申报、评审、验收工作中存在行贿或其他违纪违法事项。</w:t>
      </w:r>
    </w:p>
    <w:p w:rsidR="00B444A1" w:rsidRDefault="00B444A1" w:rsidP="00B444A1">
      <w:pPr>
        <w:adjustRightInd w:val="0"/>
        <w:jc w:val="center"/>
        <w:rPr>
          <w:rFonts w:ascii="仿宋_GB2312" w:hint="eastAsia"/>
        </w:rPr>
      </w:pPr>
      <w:bookmarkStart w:id="0" w:name="_GoBack"/>
      <w:bookmarkEnd w:id="0"/>
      <w:r>
        <w:rPr>
          <w:rFonts w:ascii="黑体" w:eastAsia="黑体" w:hAnsi="黑体" w:cs="宋体" w:hint="eastAsia"/>
          <w:kern w:val="0"/>
        </w:rPr>
        <w:t>第五章  项目验收</w:t>
      </w:r>
    </w:p>
    <w:p w:rsidR="00B444A1" w:rsidRDefault="00B444A1" w:rsidP="00B444A1">
      <w:pPr>
        <w:adjustRightInd w:val="0"/>
        <w:ind w:firstLineChars="200" w:firstLine="600"/>
        <w:rPr>
          <w:rFonts w:ascii="黑体" w:eastAsia="黑体" w:hint="eastAsia"/>
        </w:rPr>
      </w:pPr>
      <w:r>
        <w:rPr>
          <w:rFonts w:ascii="黑体" w:eastAsia="黑体" w:hint="eastAsia"/>
        </w:rPr>
        <w:lastRenderedPageBreak/>
        <w:t>一、验收指标</w:t>
      </w:r>
    </w:p>
    <w:p w:rsidR="00B444A1" w:rsidRDefault="00B444A1" w:rsidP="00B444A1">
      <w:pPr>
        <w:pStyle w:val="a4"/>
        <w:adjustRightInd w:val="0"/>
        <w:ind w:firstLine="600"/>
        <w:rPr>
          <w:rFonts w:ascii="仿宋_GB2312" w:hint="eastAsia"/>
        </w:rPr>
      </w:pPr>
      <w:r>
        <w:rPr>
          <w:rFonts w:ascii="仿宋_GB2312" w:hint="eastAsia"/>
        </w:rPr>
        <w:t>包括否决性指标、书稿指标、资源技术指标、资源内容指标。</w:t>
      </w:r>
    </w:p>
    <w:p w:rsidR="00B444A1" w:rsidRDefault="00B444A1" w:rsidP="00B444A1">
      <w:pPr>
        <w:adjustRightInd w:val="0"/>
        <w:ind w:firstLineChars="200" w:firstLine="600"/>
        <w:rPr>
          <w:rFonts w:ascii="仿宋_GB2312" w:hint="eastAsia"/>
        </w:rPr>
      </w:pPr>
      <w:r>
        <w:rPr>
          <w:rFonts w:ascii="仿宋_GB2312" w:hint="eastAsia"/>
        </w:rPr>
        <w:t>1.否决性指标</w:t>
      </w:r>
    </w:p>
    <w:p w:rsidR="00B444A1" w:rsidRDefault="00B444A1" w:rsidP="00B444A1">
      <w:pPr>
        <w:adjustRightInd w:val="0"/>
        <w:ind w:firstLineChars="200" w:firstLine="600"/>
        <w:rPr>
          <w:rFonts w:ascii="仿宋_GB2312" w:hint="eastAsia"/>
        </w:rPr>
      </w:pPr>
      <w:r>
        <w:rPr>
          <w:rFonts w:ascii="仿宋_GB2312" w:hint="eastAsia"/>
        </w:rPr>
        <w:t>（1）有危害国家安全、涉密及其他不适合网络传播的内容。</w:t>
      </w:r>
    </w:p>
    <w:p w:rsidR="00B444A1" w:rsidRDefault="00B444A1" w:rsidP="00B444A1">
      <w:pPr>
        <w:adjustRightInd w:val="0"/>
        <w:ind w:firstLineChars="200" w:firstLine="600"/>
        <w:rPr>
          <w:rFonts w:ascii="仿宋_GB2312" w:hint="eastAsia"/>
        </w:rPr>
      </w:pPr>
      <w:r>
        <w:rPr>
          <w:rFonts w:ascii="仿宋_GB2312" w:hint="eastAsia"/>
        </w:rPr>
        <w:t>（2）存在思想性、导向性或严重科学性问题。</w:t>
      </w:r>
    </w:p>
    <w:p w:rsidR="00B444A1" w:rsidRDefault="00B444A1" w:rsidP="00B444A1">
      <w:pPr>
        <w:adjustRightInd w:val="0"/>
        <w:ind w:firstLineChars="200" w:firstLine="600"/>
        <w:rPr>
          <w:rFonts w:ascii="仿宋_GB2312" w:hint="eastAsia"/>
        </w:rPr>
      </w:pPr>
      <w:r>
        <w:rPr>
          <w:rFonts w:ascii="仿宋_GB2312" w:hint="eastAsia"/>
        </w:rPr>
        <w:t>（3）课程资源存在严重知识产权争议。</w:t>
      </w:r>
    </w:p>
    <w:p w:rsidR="00B444A1" w:rsidRDefault="00B444A1" w:rsidP="00B444A1">
      <w:pPr>
        <w:adjustRightInd w:val="0"/>
        <w:ind w:firstLineChars="200" w:firstLine="600"/>
        <w:rPr>
          <w:rFonts w:ascii="仿宋_GB2312" w:hint="eastAsia"/>
        </w:rPr>
      </w:pPr>
      <w:r>
        <w:rPr>
          <w:rFonts w:ascii="仿宋_GB2312" w:hint="eastAsia"/>
        </w:rPr>
        <w:t>（4）无成型书稿。</w:t>
      </w:r>
    </w:p>
    <w:p w:rsidR="00B444A1" w:rsidRDefault="00B444A1" w:rsidP="00B444A1">
      <w:pPr>
        <w:adjustRightInd w:val="0"/>
        <w:ind w:firstLineChars="200" w:firstLine="600"/>
        <w:rPr>
          <w:rFonts w:ascii="仿宋_GB2312" w:hint="eastAsia"/>
        </w:rPr>
      </w:pPr>
      <w:r>
        <w:rPr>
          <w:rFonts w:ascii="仿宋_GB2312" w:hint="eastAsia"/>
        </w:rPr>
        <w:t>（5）验收材料造假。</w:t>
      </w:r>
    </w:p>
    <w:p w:rsidR="00B444A1" w:rsidRDefault="00B444A1" w:rsidP="00B444A1">
      <w:pPr>
        <w:adjustRightInd w:val="0"/>
        <w:ind w:firstLineChars="200" w:firstLine="600"/>
        <w:rPr>
          <w:rFonts w:ascii="仿宋_GB2312" w:hint="eastAsia"/>
        </w:rPr>
      </w:pPr>
      <w:r>
        <w:rPr>
          <w:rFonts w:ascii="仿宋_GB2312" w:hint="eastAsia"/>
        </w:rPr>
        <w:t>（6）直观性数字资源（包括视频、微课、动画、三维交互模型等）数量少于50个。</w:t>
      </w:r>
    </w:p>
    <w:p w:rsidR="00B444A1" w:rsidRDefault="00B444A1" w:rsidP="00B444A1">
      <w:pPr>
        <w:pStyle w:val="a4"/>
        <w:adjustRightInd w:val="0"/>
        <w:ind w:firstLine="600"/>
        <w:rPr>
          <w:rFonts w:ascii="仿宋_GB2312" w:hint="eastAsia"/>
        </w:rPr>
      </w:pPr>
      <w:r>
        <w:rPr>
          <w:rFonts w:ascii="仿宋_GB2312" w:hAnsi="宋体" w:hint="eastAsia"/>
        </w:rPr>
        <w:t>（7）项目资金使用凭证与申请书不一致。</w:t>
      </w:r>
    </w:p>
    <w:p w:rsidR="00B444A1" w:rsidRDefault="00B444A1" w:rsidP="00B444A1">
      <w:pPr>
        <w:adjustRightInd w:val="0"/>
        <w:ind w:firstLineChars="200" w:firstLine="600"/>
        <w:rPr>
          <w:rFonts w:ascii="仿宋_GB2312" w:hint="eastAsia"/>
        </w:rPr>
      </w:pPr>
      <w:r>
        <w:rPr>
          <w:rFonts w:ascii="仿宋_GB2312" w:hint="eastAsia"/>
        </w:rPr>
        <w:t>2.书稿指标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6"/>
        <w:gridCol w:w="6975"/>
        <w:gridCol w:w="775"/>
      </w:tblGrid>
      <w:tr w:rsidR="00B444A1" w:rsidTr="00B444A1">
        <w:trPr>
          <w:trHeight w:hRule="exact" w:val="567"/>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jc w:val="center"/>
              <w:rPr>
                <w:rFonts w:ascii="仿宋_GB2312" w:hAnsi="黑体"/>
                <w:sz w:val="24"/>
                <w:szCs w:val="24"/>
              </w:rPr>
            </w:pPr>
            <w:r>
              <w:rPr>
                <w:rFonts w:ascii="仿宋_GB2312" w:hAnsi="黑体" w:hint="eastAsia"/>
                <w:sz w:val="24"/>
                <w:szCs w:val="24"/>
              </w:rPr>
              <w:t>指标名称</w:t>
            </w:r>
          </w:p>
        </w:tc>
        <w:tc>
          <w:tcPr>
            <w:tcW w:w="6975"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ind w:firstLineChars="200" w:firstLine="480"/>
              <w:jc w:val="center"/>
              <w:rPr>
                <w:rFonts w:ascii="仿宋_GB2312" w:hAnsi="黑体"/>
                <w:sz w:val="24"/>
                <w:szCs w:val="24"/>
              </w:rPr>
            </w:pPr>
            <w:r>
              <w:rPr>
                <w:rFonts w:ascii="仿宋_GB2312" w:hAnsi="黑体" w:hint="eastAsia"/>
                <w:sz w:val="24"/>
                <w:szCs w:val="24"/>
              </w:rPr>
              <w:t>指标内涵</w:t>
            </w:r>
          </w:p>
        </w:tc>
        <w:tc>
          <w:tcPr>
            <w:tcW w:w="775"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jc w:val="center"/>
              <w:rPr>
                <w:rFonts w:ascii="仿宋_GB2312" w:hAnsi="黑体"/>
                <w:sz w:val="24"/>
                <w:szCs w:val="24"/>
              </w:rPr>
            </w:pPr>
            <w:r>
              <w:rPr>
                <w:rFonts w:ascii="仿宋_GB2312" w:hAnsi="黑体" w:hint="eastAsia"/>
                <w:sz w:val="24"/>
                <w:szCs w:val="24"/>
              </w:rPr>
              <w:t>权重</w:t>
            </w:r>
          </w:p>
        </w:tc>
      </w:tr>
      <w:tr w:rsidR="00B444A1" w:rsidTr="00B444A1">
        <w:trPr>
          <w:trHeight w:hRule="exact" w:val="567"/>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jc w:val="center"/>
              <w:rPr>
                <w:rFonts w:ascii="仿宋_GB2312"/>
                <w:sz w:val="24"/>
                <w:szCs w:val="24"/>
              </w:rPr>
            </w:pPr>
            <w:r>
              <w:rPr>
                <w:rFonts w:ascii="仿宋_GB2312" w:hint="eastAsia"/>
                <w:sz w:val="24"/>
                <w:szCs w:val="24"/>
              </w:rPr>
              <w:t>电子书稿</w:t>
            </w:r>
          </w:p>
        </w:tc>
        <w:tc>
          <w:tcPr>
            <w:tcW w:w="6975"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提供完整的电子书稿，要求内容具有创新性和完整性</w:t>
            </w:r>
          </w:p>
        </w:tc>
        <w:tc>
          <w:tcPr>
            <w:tcW w:w="775"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jc w:val="center"/>
              <w:rPr>
                <w:rFonts w:ascii="仿宋_GB2312"/>
                <w:sz w:val="24"/>
                <w:szCs w:val="24"/>
              </w:rPr>
            </w:pPr>
            <w:r>
              <w:rPr>
                <w:rFonts w:ascii="仿宋_GB2312" w:hint="eastAsia"/>
                <w:sz w:val="24"/>
                <w:szCs w:val="24"/>
              </w:rPr>
              <w:t>40%</w:t>
            </w:r>
          </w:p>
        </w:tc>
      </w:tr>
      <w:tr w:rsidR="00B444A1" w:rsidTr="00B444A1">
        <w:trPr>
          <w:trHeight w:hRule="exact" w:val="567"/>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jc w:val="center"/>
              <w:rPr>
                <w:rFonts w:ascii="仿宋_GB2312"/>
                <w:sz w:val="24"/>
                <w:szCs w:val="24"/>
              </w:rPr>
            </w:pPr>
            <w:r>
              <w:rPr>
                <w:rFonts w:ascii="仿宋_GB2312" w:hint="eastAsia"/>
                <w:sz w:val="24"/>
                <w:szCs w:val="24"/>
              </w:rPr>
              <w:t>资源列表</w:t>
            </w:r>
          </w:p>
        </w:tc>
        <w:tc>
          <w:tcPr>
            <w:tcW w:w="6975"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提供完整的资源名称与书稿中图号和名称相对应的资源列表</w:t>
            </w:r>
          </w:p>
        </w:tc>
        <w:tc>
          <w:tcPr>
            <w:tcW w:w="775"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jc w:val="center"/>
              <w:rPr>
                <w:rFonts w:ascii="仿宋_GB2312"/>
                <w:sz w:val="24"/>
                <w:szCs w:val="24"/>
              </w:rPr>
            </w:pPr>
            <w:r>
              <w:rPr>
                <w:rFonts w:ascii="仿宋_GB2312" w:hint="eastAsia"/>
                <w:sz w:val="24"/>
                <w:szCs w:val="24"/>
              </w:rPr>
              <w:t>30%</w:t>
            </w:r>
          </w:p>
        </w:tc>
      </w:tr>
      <w:tr w:rsidR="00B444A1" w:rsidTr="00B444A1">
        <w:trPr>
          <w:trHeight w:hRule="exact" w:val="808"/>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jc w:val="center"/>
              <w:rPr>
                <w:rFonts w:ascii="仿宋_GB2312"/>
                <w:sz w:val="24"/>
                <w:szCs w:val="24"/>
              </w:rPr>
            </w:pPr>
            <w:r>
              <w:rPr>
                <w:rFonts w:ascii="仿宋_GB2312" w:hint="eastAsia"/>
                <w:sz w:val="24"/>
                <w:szCs w:val="24"/>
              </w:rPr>
              <w:t>图  片</w:t>
            </w:r>
          </w:p>
        </w:tc>
        <w:tc>
          <w:tcPr>
            <w:tcW w:w="6975"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提供一套完整的、对应教材的tiff格式的图片，并注明对应教材中的图号和名称</w:t>
            </w:r>
          </w:p>
        </w:tc>
        <w:tc>
          <w:tcPr>
            <w:tcW w:w="775"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jc w:val="center"/>
              <w:rPr>
                <w:rFonts w:ascii="仿宋_GB2312"/>
                <w:sz w:val="24"/>
                <w:szCs w:val="24"/>
              </w:rPr>
            </w:pPr>
            <w:r>
              <w:rPr>
                <w:rFonts w:ascii="仿宋_GB2312" w:hint="eastAsia"/>
                <w:sz w:val="24"/>
                <w:szCs w:val="24"/>
              </w:rPr>
              <w:t>30%</w:t>
            </w:r>
          </w:p>
        </w:tc>
      </w:tr>
    </w:tbl>
    <w:p w:rsidR="00B444A1" w:rsidRDefault="00B444A1" w:rsidP="00B444A1">
      <w:pPr>
        <w:adjustRightInd w:val="0"/>
        <w:ind w:firstLineChars="200" w:firstLine="560"/>
        <w:rPr>
          <w:rFonts w:ascii="仿宋_GB2312" w:hint="eastAsia"/>
          <w:sz w:val="28"/>
          <w:szCs w:val="28"/>
        </w:rPr>
      </w:pPr>
      <w:r>
        <w:rPr>
          <w:rFonts w:ascii="仿宋_GB2312" w:hint="eastAsia"/>
          <w:sz w:val="28"/>
          <w:szCs w:val="28"/>
        </w:rPr>
        <w:t>3.资源内容指标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8"/>
        <w:gridCol w:w="6943"/>
        <w:gridCol w:w="872"/>
      </w:tblGrid>
      <w:tr w:rsidR="00B444A1" w:rsidTr="00B444A1">
        <w:trPr>
          <w:trHeight w:hRule="exact" w:val="567"/>
          <w:jc w:val="center"/>
        </w:trPr>
        <w:tc>
          <w:tcPr>
            <w:tcW w:w="1328"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hAnsi="黑体"/>
                <w:sz w:val="24"/>
                <w:szCs w:val="24"/>
              </w:rPr>
            </w:pPr>
            <w:r>
              <w:rPr>
                <w:rFonts w:ascii="仿宋_GB2312" w:hAnsi="黑体" w:hint="eastAsia"/>
                <w:sz w:val="24"/>
                <w:szCs w:val="24"/>
              </w:rPr>
              <w:t>指标名称</w:t>
            </w:r>
          </w:p>
        </w:tc>
        <w:tc>
          <w:tcPr>
            <w:tcW w:w="6943"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ind w:firstLineChars="200" w:firstLine="480"/>
              <w:jc w:val="center"/>
              <w:rPr>
                <w:rFonts w:ascii="仿宋_GB2312" w:hAnsi="黑体"/>
                <w:sz w:val="24"/>
                <w:szCs w:val="24"/>
              </w:rPr>
            </w:pPr>
            <w:r>
              <w:rPr>
                <w:rFonts w:ascii="仿宋_GB2312" w:hAnsi="黑体" w:hint="eastAsia"/>
                <w:sz w:val="24"/>
                <w:szCs w:val="24"/>
              </w:rPr>
              <w:t>指标内涵</w:t>
            </w:r>
          </w:p>
        </w:tc>
        <w:tc>
          <w:tcPr>
            <w:tcW w:w="872"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hAnsi="黑体"/>
                <w:sz w:val="24"/>
                <w:szCs w:val="24"/>
              </w:rPr>
            </w:pPr>
            <w:r>
              <w:rPr>
                <w:rFonts w:ascii="仿宋_GB2312" w:hAnsi="黑体" w:hint="eastAsia"/>
                <w:sz w:val="24"/>
                <w:szCs w:val="24"/>
              </w:rPr>
              <w:t>权重</w:t>
            </w:r>
          </w:p>
        </w:tc>
      </w:tr>
      <w:tr w:rsidR="00B444A1" w:rsidTr="00B444A1">
        <w:trPr>
          <w:trHeight w:hRule="exact" w:val="567"/>
          <w:jc w:val="center"/>
        </w:trPr>
        <w:tc>
          <w:tcPr>
            <w:tcW w:w="1328" w:type="dxa"/>
            <w:vMerge w:val="restart"/>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整体设计</w:t>
            </w:r>
          </w:p>
        </w:tc>
        <w:tc>
          <w:tcPr>
            <w:tcW w:w="6943"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jc w:val="left"/>
              <w:rPr>
                <w:rFonts w:ascii="仿宋_GB2312"/>
                <w:sz w:val="24"/>
                <w:szCs w:val="24"/>
              </w:rPr>
            </w:pPr>
            <w:r>
              <w:rPr>
                <w:rFonts w:ascii="仿宋_GB2312" w:hint="eastAsia"/>
                <w:sz w:val="24"/>
                <w:szCs w:val="24"/>
              </w:rPr>
              <w:t>课程体系完善，具有结构化的设计框架</w:t>
            </w:r>
          </w:p>
        </w:tc>
        <w:tc>
          <w:tcPr>
            <w:tcW w:w="872"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10%</w:t>
            </w:r>
          </w:p>
        </w:tc>
      </w:tr>
      <w:tr w:rsidR="00B444A1" w:rsidTr="00B444A1">
        <w:trPr>
          <w:trHeight w:hRule="exact" w:val="567"/>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rsidR="00B444A1" w:rsidRDefault="00B444A1">
            <w:pPr>
              <w:widowControl/>
              <w:jc w:val="left"/>
              <w:rPr>
                <w:rFonts w:ascii="仿宋_GB2312"/>
                <w:sz w:val="24"/>
                <w:szCs w:val="24"/>
              </w:rPr>
            </w:pPr>
          </w:p>
        </w:tc>
        <w:tc>
          <w:tcPr>
            <w:tcW w:w="6943"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以知识点、技能点为单位的碎片化资源</w:t>
            </w:r>
          </w:p>
        </w:tc>
        <w:tc>
          <w:tcPr>
            <w:tcW w:w="872"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5%</w:t>
            </w:r>
          </w:p>
        </w:tc>
      </w:tr>
      <w:tr w:rsidR="00B444A1" w:rsidTr="00B444A1">
        <w:trPr>
          <w:trHeight w:hRule="exact" w:val="724"/>
          <w:jc w:val="center"/>
        </w:trPr>
        <w:tc>
          <w:tcPr>
            <w:tcW w:w="1328" w:type="dxa"/>
            <w:vMerge w:val="restart"/>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课程资源</w:t>
            </w:r>
          </w:p>
        </w:tc>
        <w:tc>
          <w:tcPr>
            <w:tcW w:w="6943"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音频、视频、动画、微课、三维交互模型等直观性数字资源数量不少于50个</w:t>
            </w:r>
          </w:p>
        </w:tc>
        <w:tc>
          <w:tcPr>
            <w:tcW w:w="872"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50%</w:t>
            </w:r>
          </w:p>
        </w:tc>
      </w:tr>
      <w:tr w:rsidR="00B444A1" w:rsidTr="00B444A1">
        <w:trPr>
          <w:trHeight w:hRule="exact" w:val="567"/>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rsidR="00B444A1" w:rsidRDefault="00B444A1">
            <w:pPr>
              <w:widowControl/>
              <w:jc w:val="left"/>
              <w:rPr>
                <w:rFonts w:ascii="仿宋_GB2312"/>
                <w:sz w:val="24"/>
                <w:szCs w:val="24"/>
              </w:rPr>
            </w:pPr>
          </w:p>
        </w:tc>
        <w:tc>
          <w:tcPr>
            <w:tcW w:w="6943"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静态图形（图像）类资源类型多样、分布合理</w:t>
            </w:r>
          </w:p>
        </w:tc>
        <w:tc>
          <w:tcPr>
            <w:tcW w:w="872"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10%</w:t>
            </w:r>
          </w:p>
        </w:tc>
      </w:tr>
      <w:tr w:rsidR="00B444A1" w:rsidTr="00B444A1">
        <w:trPr>
          <w:trHeight w:hRule="exact" w:val="567"/>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rsidR="00B444A1" w:rsidRDefault="00B444A1">
            <w:pPr>
              <w:widowControl/>
              <w:jc w:val="left"/>
              <w:rPr>
                <w:rFonts w:ascii="仿宋_GB2312"/>
                <w:sz w:val="24"/>
                <w:szCs w:val="24"/>
              </w:rPr>
            </w:pPr>
          </w:p>
        </w:tc>
        <w:tc>
          <w:tcPr>
            <w:tcW w:w="6943"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教案、试题库、课件等格式统一、规范</w:t>
            </w:r>
          </w:p>
        </w:tc>
        <w:tc>
          <w:tcPr>
            <w:tcW w:w="872"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5%</w:t>
            </w:r>
          </w:p>
        </w:tc>
      </w:tr>
      <w:tr w:rsidR="00B444A1" w:rsidTr="00B444A1">
        <w:trPr>
          <w:trHeight w:hRule="exact" w:val="567"/>
          <w:jc w:val="center"/>
        </w:trPr>
        <w:tc>
          <w:tcPr>
            <w:tcW w:w="1328" w:type="dxa"/>
            <w:vMerge w:val="restart"/>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应用情况</w:t>
            </w:r>
          </w:p>
        </w:tc>
        <w:tc>
          <w:tcPr>
            <w:tcW w:w="6943"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直观性数字资源（视频、微课、动画）形式2类以上</w:t>
            </w:r>
          </w:p>
        </w:tc>
        <w:tc>
          <w:tcPr>
            <w:tcW w:w="872"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10%</w:t>
            </w:r>
          </w:p>
        </w:tc>
      </w:tr>
      <w:tr w:rsidR="00B444A1" w:rsidTr="00B444A1">
        <w:trPr>
          <w:trHeight w:hRule="exact" w:val="796"/>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rsidR="00B444A1" w:rsidRDefault="00B444A1">
            <w:pPr>
              <w:widowControl/>
              <w:jc w:val="left"/>
              <w:rPr>
                <w:rFonts w:ascii="仿宋_GB2312"/>
                <w:sz w:val="24"/>
                <w:szCs w:val="24"/>
              </w:rPr>
            </w:pPr>
          </w:p>
        </w:tc>
        <w:tc>
          <w:tcPr>
            <w:tcW w:w="6943"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媒体表现形象、生动，符合知识或者技能的呈现特点，设计美观大方</w:t>
            </w:r>
          </w:p>
        </w:tc>
        <w:tc>
          <w:tcPr>
            <w:tcW w:w="872"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10%</w:t>
            </w:r>
          </w:p>
        </w:tc>
      </w:tr>
    </w:tbl>
    <w:p w:rsidR="00B444A1" w:rsidRDefault="00B444A1" w:rsidP="00B444A1">
      <w:pPr>
        <w:pStyle w:val="a4"/>
        <w:adjustRightInd w:val="0"/>
        <w:ind w:firstLine="600"/>
        <w:rPr>
          <w:rFonts w:ascii="仿宋_GB2312" w:hint="eastAsia"/>
        </w:rPr>
      </w:pPr>
      <w:r>
        <w:rPr>
          <w:rFonts w:ascii="仿宋_GB2312" w:hint="eastAsia"/>
        </w:rPr>
        <w:t>4.资源技术指标</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299"/>
        <w:gridCol w:w="5366"/>
        <w:gridCol w:w="843"/>
      </w:tblGrid>
      <w:tr w:rsidR="00B444A1" w:rsidTr="00B444A1">
        <w:tc>
          <w:tcPr>
            <w:tcW w:w="1647"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spacing w:line="240" w:lineRule="atLeast"/>
              <w:rPr>
                <w:rFonts w:ascii="黑体" w:eastAsia="黑体" w:hAnsi="黑体"/>
                <w:sz w:val="24"/>
                <w:szCs w:val="24"/>
              </w:rPr>
            </w:pPr>
            <w:r>
              <w:rPr>
                <w:rFonts w:ascii="黑体" w:eastAsia="黑体" w:hAnsi="黑体" w:hint="eastAsia"/>
                <w:sz w:val="24"/>
                <w:szCs w:val="24"/>
              </w:rPr>
              <w:t>一级指标</w:t>
            </w:r>
          </w:p>
        </w:tc>
        <w:tc>
          <w:tcPr>
            <w:tcW w:w="1299"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spacing w:line="240" w:lineRule="atLeast"/>
              <w:rPr>
                <w:rFonts w:ascii="黑体" w:eastAsia="黑体" w:hAnsi="黑体"/>
                <w:sz w:val="24"/>
                <w:szCs w:val="24"/>
              </w:rPr>
            </w:pPr>
            <w:r>
              <w:rPr>
                <w:rFonts w:ascii="黑体" w:eastAsia="黑体" w:hAnsi="黑体" w:hint="eastAsia"/>
                <w:sz w:val="24"/>
                <w:szCs w:val="24"/>
              </w:rPr>
              <w:t>二级指标</w:t>
            </w:r>
          </w:p>
        </w:tc>
        <w:tc>
          <w:tcPr>
            <w:tcW w:w="5366"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spacing w:line="240" w:lineRule="atLeast"/>
              <w:ind w:firstLineChars="200" w:firstLine="480"/>
              <w:jc w:val="center"/>
              <w:rPr>
                <w:rFonts w:ascii="黑体" w:eastAsia="黑体" w:hAnsi="黑体"/>
                <w:sz w:val="24"/>
                <w:szCs w:val="24"/>
              </w:rPr>
            </w:pPr>
            <w:r>
              <w:rPr>
                <w:rFonts w:ascii="黑体" w:eastAsia="黑体" w:hAnsi="黑体" w:hint="eastAsia"/>
                <w:sz w:val="24"/>
                <w:szCs w:val="24"/>
              </w:rPr>
              <w:t>指标内涵</w:t>
            </w:r>
          </w:p>
        </w:tc>
        <w:tc>
          <w:tcPr>
            <w:tcW w:w="843"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spacing w:line="240" w:lineRule="atLeast"/>
              <w:rPr>
                <w:rFonts w:ascii="黑体" w:eastAsia="黑体" w:hAnsi="黑体"/>
                <w:sz w:val="24"/>
                <w:szCs w:val="24"/>
              </w:rPr>
            </w:pPr>
            <w:r>
              <w:rPr>
                <w:rFonts w:ascii="黑体" w:eastAsia="黑体" w:hAnsi="黑体" w:hint="eastAsia"/>
                <w:sz w:val="24"/>
                <w:szCs w:val="24"/>
              </w:rPr>
              <w:t>权重</w:t>
            </w:r>
          </w:p>
        </w:tc>
      </w:tr>
      <w:tr w:rsidR="00B444A1" w:rsidTr="00B444A1">
        <w:tc>
          <w:tcPr>
            <w:tcW w:w="1647" w:type="dxa"/>
            <w:tcBorders>
              <w:top w:val="single" w:sz="4" w:space="0" w:color="auto"/>
              <w:left w:val="single" w:sz="4" w:space="0" w:color="auto"/>
              <w:bottom w:val="single" w:sz="4" w:space="0" w:color="auto"/>
              <w:right w:val="single" w:sz="4" w:space="0" w:color="auto"/>
            </w:tcBorders>
            <w:hideMark/>
          </w:tcPr>
          <w:p w:rsidR="00B444A1" w:rsidRDefault="00B444A1">
            <w:pPr>
              <w:adjustRightInd w:val="0"/>
              <w:snapToGrid w:val="0"/>
              <w:rPr>
                <w:rFonts w:ascii="仿宋_GB2312"/>
                <w:sz w:val="24"/>
                <w:szCs w:val="24"/>
              </w:rPr>
            </w:pPr>
            <w:r>
              <w:rPr>
                <w:rFonts w:ascii="仿宋_GB2312" w:hint="eastAsia"/>
                <w:sz w:val="24"/>
                <w:szCs w:val="24"/>
              </w:rPr>
              <w:t>资源有效性</w:t>
            </w:r>
          </w:p>
        </w:tc>
        <w:tc>
          <w:tcPr>
            <w:tcW w:w="1299" w:type="dxa"/>
            <w:tcBorders>
              <w:top w:val="single" w:sz="4" w:space="0" w:color="auto"/>
              <w:left w:val="single" w:sz="4" w:space="0" w:color="auto"/>
              <w:bottom w:val="single" w:sz="4" w:space="0" w:color="auto"/>
              <w:right w:val="single" w:sz="4" w:space="0" w:color="auto"/>
            </w:tcBorders>
            <w:vAlign w:val="center"/>
          </w:tcPr>
          <w:p w:rsidR="00B444A1" w:rsidRDefault="00B444A1">
            <w:pPr>
              <w:adjustRightInd w:val="0"/>
              <w:snapToGrid w:val="0"/>
              <w:ind w:firstLineChars="200" w:firstLine="480"/>
              <w:jc w:val="center"/>
              <w:rPr>
                <w:rFonts w:ascii="仿宋_GB2312"/>
                <w:sz w:val="24"/>
                <w:szCs w:val="24"/>
              </w:rPr>
            </w:pPr>
          </w:p>
        </w:tc>
        <w:tc>
          <w:tcPr>
            <w:tcW w:w="5366" w:type="dxa"/>
            <w:tcBorders>
              <w:top w:val="single" w:sz="4" w:space="0" w:color="auto"/>
              <w:left w:val="single" w:sz="4" w:space="0" w:color="auto"/>
              <w:bottom w:val="single" w:sz="4" w:space="0" w:color="auto"/>
              <w:right w:val="single" w:sz="4" w:space="0" w:color="auto"/>
            </w:tcBorders>
            <w:hideMark/>
          </w:tcPr>
          <w:p w:rsidR="00B444A1" w:rsidRDefault="00B444A1">
            <w:pPr>
              <w:adjustRightInd w:val="0"/>
              <w:snapToGrid w:val="0"/>
              <w:rPr>
                <w:rFonts w:ascii="仿宋_GB2312"/>
                <w:sz w:val="24"/>
                <w:szCs w:val="24"/>
              </w:rPr>
            </w:pPr>
            <w:r>
              <w:rPr>
                <w:rFonts w:ascii="仿宋_GB2312" w:hint="eastAsia"/>
                <w:sz w:val="24"/>
                <w:szCs w:val="24"/>
              </w:rPr>
              <w:t>所有资源链接无误，可正常浏览</w:t>
            </w:r>
          </w:p>
        </w:tc>
        <w:tc>
          <w:tcPr>
            <w:tcW w:w="843" w:type="dxa"/>
            <w:tcBorders>
              <w:top w:val="single" w:sz="4" w:space="0" w:color="auto"/>
              <w:left w:val="single" w:sz="4" w:space="0" w:color="auto"/>
              <w:bottom w:val="single" w:sz="4" w:space="0" w:color="auto"/>
              <w:right w:val="single" w:sz="4" w:space="0" w:color="auto"/>
            </w:tcBorders>
            <w:vAlign w:val="bottom"/>
            <w:hideMark/>
          </w:tcPr>
          <w:p w:rsidR="00B444A1" w:rsidRDefault="00B444A1">
            <w:pPr>
              <w:adjustRightInd w:val="0"/>
              <w:snapToGrid w:val="0"/>
              <w:rPr>
                <w:rFonts w:ascii="仿宋_GB2312"/>
                <w:sz w:val="24"/>
                <w:szCs w:val="24"/>
              </w:rPr>
            </w:pPr>
            <w:r>
              <w:rPr>
                <w:rFonts w:ascii="仿宋_GB2312" w:hint="eastAsia"/>
                <w:sz w:val="24"/>
                <w:szCs w:val="24"/>
              </w:rPr>
              <w:t>25%</w:t>
            </w:r>
          </w:p>
        </w:tc>
      </w:tr>
      <w:tr w:rsidR="00B444A1" w:rsidTr="00B444A1">
        <w:tc>
          <w:tcPr>
            <w:tcW w:w="1647" w:type="dxa"/>
            <w:vMerge w:val="restart"/>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pacing w:val="-20"/>
                <w:sz w:val="24"/>
                <w:szCs w:val="24"/>
              </w:rPr>
            </w:pPr>
            <w:r>
              <w:rPr>
                <w:rFonts w:ascii="仿宋_GB2312" w:hint="eastAsia"/>
                <w:spacing w:val="-20"/>
                <w:sz w:val="24"/>
                <w:szCs w:val="24"/>
              </w:rPr>
              <w:t>资源技术标准</w:t>
            </w:r>
          </w:p>
        </w:tc>
        <w:tc>
          <w:tcPr>
            <w:tcW w:w="1299"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动态图</w:t>
            </w:r>
          </w:p>
        </w:tc>
        <w:tc>
          <w:tcPr>
            <w:tcW w:w="5366" w:type="dxa"/>
            <w:tcBorders>
              <w:top w:val="single" w:sz="4" w:space="0" w:color="auto"/>
              <w:left w:val="single" w:sz="4" w:space="0" w:color="auto"/>
              <w:bottom w:val="single" w:sz="4" w:space="0" w:color="auto"/>
              <w:right w:val="single" w:sz="4" w:space="0" w:color="auto"/>
            </w:tcBorders>
            <w:hideMark/>
          </w:tcPr>
          <w:p w:rsidR="00B444A1" w:rsidRDefault="00B444A1">
            <w:pPr>
              <w:adjustRightInd w:val="0"/>
              <w:snapToGrid w:val="0"/>
              <w:rPr>
                <w:rFonts w:ascii="仿宋_GB2312"/>
                <w:sz w:val="24"/>
                <w:szCs w:val="24"/>
              </w:rPr>
            </w:pPr>
            <w:r>
              <w:rPr>
                <w:rFonts w:ascii="仿宋_GB2312" w:hint="eastAsia"/>
                <w:sz w:val="24"/>
                <w:szCs w:val="24"/>
              </w:rPr>
              <w:t xml:space="preserve">（1）图片大小不超过500kb </w:t>
            </w:r>
          </w:p>
          <w:p w:rsidR="00B444A1" w:rsidRDefault="00B444A1">
            <w:pPr>
              <w:adjustRightInd w:val="0"/>
              <w:snapToGrid w:val="0"/>
              <w:rPr>
                <w:rFonts w:ascii="仿宋_GB2312" w:hint="eastAsia"/>
                <w:sz w:val="24"/>
                <w:szCs w:val="24"/>
              </w:rPr>
            </w:pPr>
            <w:r>
              <w:rPr>
                <w:rFonts w:ascii="仿宋_GB2312" w:hint="eastAsia"/>
                <w:sz w:val="24"/>
                <w:szCs w:val="24"/>
              </w:rPr>
              <w:t>（2）绘制动态要求设置成永久循环</w:t>
            </w:r>
          </w:p>
          <w:p w:rsidR="00B444A1" w:rsidRDefault="00B444A1">
            <w:pPr>
              <w:adjustRightInd w:val="0"/>
              <w:snapToGrid w:val="0"/>
              <w:rPr>
                <w:rFonts w:ascii="仿宋_GB2312" w:hint="eastAsia"/>
                <w:sz w:val="24"/>
                <w:szCs w:val="24"/>
              </w:rPr>
            </w:pPr>
            <w:r>
              <w:rPr>
                <w:rFonts w:ascii="仿宋_GB2312" w:hAnsi="宋体" w:hint="eastAsia"/>
                <w:sz w:val="24"/>
                <w:szCs w:val="24"/>
              </w:rPr>
              <w:t>（3）</w:t>
            </w:r>
            <w:r>
              <w:rPr>
                <w:rFonts w:ascii="仿宋_GB2312" w:hint="eastAsia"/>
                <w:sz w:val="24"/>
                <w:szCs w:val="24"/>
              </w:rPr>
              <w:t xml:space="preserve">图幅尺寸1280*720（16:9） </w:t>
            </w:r>
          </w:p>
          <w:p w:rsidR="00B444A1" w:rsidRDefault="00B444A1">
            <w:pPr>
              <w:adjustRightInd w:val="0"/>
              <w:snapToGrid w:val="0"/>
              <w:rPr>
                <w:rFonts w:ascii="仿宋_GB2312"/>
                <w:sz w:val="24"/>
                <w:szCs w:val="24"/>
              </w:rPr>
            </w:pPr>
            <w:r>
              <w:rPr>
                <w:rFonts w:ascii="仿宋_GB2312" w:hAnsi="宋体" w:hint="eastAsia"/>
                <w:sz w:val="24"/>
                <w:szCs w:val="24"/>
              </w:rPr>
              <w:t>（4）</w:t>
            </w:r>
            <w:r>
              <w:rPr>
                <w:rFonts w:ascii="仿宋_GB2312" w:hint="eastAsia"/>
                <w:sz w:val="24"/>
                <w:szCs w:val="24"/>
              </w:rPr>
              <w:t>以清晰为原则，保证视觉效果</w:t>
            </w:r>
          </w:p>
        </w:tc>
        <w:tc>
          <w:tcPr>
            <w:tcW w:w="843" w:type="dxa"/>
            <w:vMerge w:val="restart"/>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75%</w:t>
            </w:r>
          </w:p>
        </w:tc>
      </w:tr>
      <w:tr w:rsidR="00B444A1" w:rsidTr="00B444A1">
        <w:tc>
          <w:tcPr>
            <w:tcW w:w="1647" w:type="dxa"/>
            <w:vMerge/>
            <w:tcBorders>
              <w:top w:val="single" w:sz="4" w:space="0" w:color="auto"/>
              <w:left w:val="single" w:sz="4" w:space="0" w:color="auto"/>
              <w:bottom w:val="single" w:sz="4" w:space="0" w:color="auto"/>
              <w:right w:val="single" w:sz="4" w:space="0" w:color="auto"/>
            </w:tcBorders>
            <w:vAlign w:val="center"/>
            <w:hideMark/>
          </w:tcPr>
          <w:p w:rsidR="00B444A1" w:rsidRDefault="00B444A1">
            <w:pPr>
              <w:widowControl/>
              <w:jc w:val="left"/>
              <w:rPr>
                <w:rFonts w:ascii="仿宋_GB2312"/>
                <w:spacing w:val="-20"/>
                <w:sz w:val="24"/>
                <w:szCs w:val="24"/>
              </w:rPr>
            </w:pPr>
          </w:p>
        </w:tc>
        <w:tc>
          <w:tcPr>
            <w:tcW w:w="1299"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二维动画</w:t>
            </w:r>
          </w:p>
        </w:tc>
        <w:tc>
          <w:tcPr>
            <w:tcW w:w="5366" w:type="dxa"/>
            <w:tcBorders>
              <w:top w:val="single" w:sz="4" w:space="0" w:color="auto"/>
              <w:left w:val="single" w:sz="4" w:space="0" w:color="auto"/>
              <w:bottom w:val="single" w:sz="4" w:space="0" w:color="auto"/>
              <w:right w:val="single" w:sz="4" w:space="0" w:color="auto"/>
            </w:tcBorders>
            <w:hideMark/>
          </w:tcPr>
          <w:p w:rsidR="00B444A1" w:rsidRDefault="00B444A1">
            <w:pPr>
              <w:adjustRightInd w:val="0"/>
              <w:snapToGrid w:val="0"/>
              <w:rPr>
                <w:rFonts w:ascii="仿宋_GB2312"/>
                <w:sz w:val="24"/>
                <w:szCs w:val="24"/>
              </w:rPr>
            </w:pPr>
            <w:r>
              <w:rPr>
                <w:rFonts w:ascii="仿宋_GB2312" w:hint="eastAsia"/>
                <w:sz w:val="24"/>
                <w:szCs w:val="24"/>
              </w:rPr>
              <w:t>（1）文件格式：*.MP4;*.html;*.gif</w:t>
            </w:r>
          </w:p>
          <w:p w:rsidR="00B444A1" w:rsidRDefault="00B444A1">
            <w:pPr>
              <w:adjustRightInd w:val="0"/>
              <w:snapToGrid w:val="0"/>
              <w:rPr>
                <w:rFonts w:ascii="仿宋_GB2312" w:hint="eastAsia"/>
                <w:sz w:val="24"/>
                <w:szCs w:val="24"/>
              </w:rPr>
            </w:pPr>
            <w:r>
              <w:rPr>
                <w:rFonts w:ascii="仿宋_GB2312" w:hAnsi="宋体" w:hint="eastAsia"/>
                <w:sz w:val="24"/>
                <w:szCs w:val="24"/>
              </w:rPr>
              <w:t>（2）</w:t>
            </w:r>
            <w:r>
              <w:rPr>
                <w:rFonts w:ascii="仿宋_GB2312" w:hint="eastAsia"/>
                <w:sz w:val="24"/>
                <w:szCs w:val="24"/>
              </w:rPr>
              <w:t>输出尺寸：1280*720（16:9）</w:t>
            </w:r>
          </w:p>
          <w:p w:rsidR="00B444A1" w:rsidRDefault="00B444A1">
            <w:pPr>
              <w:adjustRightInd w:val="0"/>
              <w:snapToGrid w:val="0"/>
              <w:rPr>
                <w:rFonts w:ascii="仿宋_GB2312" w:hint="eastAsia"/>
                <w:sz w:val="24"/>
                <w:szCs w:val="24"/>
              </w:rPr>
            </w:pPr>
            <w:r>
              <w:rPr>
                <w:rFonts w:ascii="仿宋_GB2312" w:hAnsi="宋体" w:hint="eastAsia"/>
                <w:sz w:val="24"/>
                <w:szCs w:val="24"/>
              </w:rPr>
              <w:t>（3）</w:t>
            </w:r>
            <w:r>
              <w:rPr>
                <w:rFonts w:ascii="仿宋_GB2312" w:hint="eastAsia"/>
                <w:sz w:val="24"/>
                <w:szCs w:val="24"/>
              </w:rPr>
              <w:t>时间长度：小于10分钟</w:t>
            </w:r>
          </w:p>
          <w:p w:rsidR="00B444A1" w:rsidRDefault="00B444A1">
            <w:pPr>
              <w:adjustRightInd w:val="0"/>
              <w:snapToGrid w:val="0"/>
              <w:rPr>
                <w:rFonts w:ascii="仿宋_GB2312"/>
                <w:sz w:val="24"/>
                <w:szCs w:val="24"/>
              </w:rPr>
            </w:pPr>
            <w:r>
              <w:rPr>
                <w:rFonts w:ascii="仿宋_GB2312" w:hAnsi="宋体" w:hint="eastAsia"/>
                <w:sz w:val="24"/>
                <w:szCs w:val="24"/>
              </w:rPr>
              <w:t>（4）</w:t>
            </w:r>
            <w:r>
              <w:rPr>
                <w:rFonts w:ascii="仿宋_GB2312" w:hint="eastAsia"/>
                <w:sz w:val="24"/>
                <w:szCs w:val="24"/>
              </w:rPr>
              <w:t>文字醒目，画面简洁清晰</w:t>
            </w: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B444A1" w:rsidRDefault="00B444A1">
            <w:pPr>
              <w:widowControl/>
              <w:jc w:val="left"/>
              <w:rPr>
                <w:rFonts w:ascii="仿宋_GB2312"/>
                <w:sz w:val="24"/>
                <w:szCs w:val="24"/>
              </w:rPr>
            </w:pPr>
          </w:p>
        </w:tc>
      </w:tr>
      <w:tr w:rsidR="00B444A1" w:rsidTr="00B444A1">
        <w:tc>
          <w:tcPr>
            <w:tcW w:w="1647" w:type="dxa"/>
            <w:vMerge/>
            <w:tcBorders>
              <w:top w:val="single" w:sz="4" w:space="0" w:color="auto"/>
              <w:left w:val="single" w:sz="4" w:space="0" w:color="auto"/>
              <w:bottom w:val="single" w:sz="4" w:space="0" w:color="auto"/>
              <w:right w:val="single" w:sz="4" w:space="0" w:color="auto"/>
            </w:tcBorders>
            <w:vAlign w:val="center"/>
            <w:hideMark/>
          </w:tcPr>
          <w:p w:rsidR="00B444A1" w:rsidRDefault="00B444A1">
            <w:pPr>
              <w:widowControl/>
              <w:jc w:val="left"/>
              <w:rPr>
                <w:rFonts w:ascii="仿宋_GB2312"/>
                <w:spacing w:val="-20"/>
                <w:sz w:val="24"/>
                <w:szCs w:val="24"/>
              </w:rPr>
            </w:pPr>
          </w:p>
        </w:tc>
        <w:tc>
          <w:tcPr>
            <w:tcW w:w="1299"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三维动画</w:t>
            </w:r>
          </w:p>
        </w:tc>
        <w:tc>
          <w:tcPr>
            <w:tcW w:w="5366" w:type="dxa"/>
            <w:tcBorders>
              <w:top w:val="single" w:sz="4" w:space="0" w:color="auto"/>
              <w:left w:val="single" w:sz="4" w:space="0" w:color="auto"/>
              <w:bottom w:val="single" w:sz="4" w:space="0" w:color="auto"/>
              <w:right w:val="single" w:sz="4" w:space="0" w:color="auto"/>
            </w:tcBorders>
            <w:hideMark/>
          </w:tcPr>
          <w:p w:rsidR="00B444A1" w:rsidRDefault="00B444A1">
            <w:pPr>
              <w:adjustRightInd w:val="0"/>
              <w:snapToGrid w:val="0"/>
              <w:rPr>
                <w:rFonts w:ascii="仿宋_GB2312"/>
                <w:sz w:val="24"/>
                <w:szCs w:val="24"/>
              </w:rPr>
            </w:pPr>
            <w:r>
              <w:rPr>
                <w:rFonts w:ascii="仿宋_GB2312" w:hint="eastAsia"/>
                <w:sz w:val="24"/>
                <w:szCs w:val="24"/>
              </w:rPr>
              <w:t>（1）输出资源格式：*.mp4</w:t>
            </w:r>
          </w:p>
          <w:p w:rsidR="00B444A1" w:rsidRDefault="00B444A1">
            <w:pPr>
              <w:adjustRightInd w:val="0"/>
              <w:snapToGrid w:val="0"/>
              <w:rPr>
                <w:rFonts w:ascii="仿宋_GB2312" w:hint="eastAsia"/>
                <w:sz w:val="24"/>
                <w:szCs w:val="24"/>
              </w:rPr>
            </w:pPr>
            <w:r>
              <w:rPr>
                <w:rFonts w:ascii="仿宋_GB2312" w:hAnsi="宋体" w:hint="eastAsia"/>
                <w:sz w:val="24"/>
                <w:szCs w:val="24"/>
              </w:rPr>
              <w:t>（2）</w:t>
            </w:r>
            <w:r>
              <w:rPr>
                <w:rFonts w:ascii="仿宋_GB2312" w:hint="eastAsia"/>
                <w:sz w:val="24"/>
                <w:szCs w:val="24"/>
              </w:rPr>
              <w:t>输出尺寸：1280*720（16:9）</w:t>
            </w:r>
          </w:p>
          <w:p w:rsidR="00B444A1" w:rsidRDefault="00B444A1">
            <w:pPr>
              <w:adjustRightInd w:val="0"/>
              <w:snapToGrid w:val="0"/>
              <w:rPr>
                <w:rFonts w:ascii="仿宋_GB2312" w:hint="eastAsia"/>
                <w:sz w:val="24"/>
                <w:szCs w:val="24"/>
              </w:rPr>
            </w:pPr>
            <w:r>
              <w:rPr>
                <w:rFonts w:ascii="仿宋_GB2312" w:hAnsi="宋体" w:hint="eastAsia"/>
                <w:sz w:val="24"/>
                <w:szCs w:val="24"/>
              </w:rPr>
              <w:t>（3）</w:t>
            </w:r>
            <w:r>
              <w:rPr>
                <w:rFonts w:ascii="仿宋_GB2312" w:hint="eastAsia"/>
                <w:sz w:val="24"/>
                <w:szCs w:val="24"/>
              </w:rPr>
              <w:t>时间长度：小于10分钟</w:t>
            </w:r>
          </w:p>
          <w:p w:rsidR="00B444A1" w:rsidRDefault="00B444A1">
            <w:pPr>
              <w:adjustRightInd w:val="0"/>
              <w:snapToGrid w:val="0"/>
              <w:rPr>
                <w:rFonts w:ascii="仿宋_GB2312"/>
                <w:sz w:val="24"/>
                <w:szCs w:val="24"/>
              </w:rPr>
            </w:pPr>
            <w:r>
              <w:rPr>
                <w:rFonts w:ascii="仿宋_GB2312" w:hAnsi="宋体" w:hint="eastAsia"/>
                <w:sz w:val="24"/>
                <w:szCs w:val="24"/>
              </w:rPr>
              <w:t>（4）</w:t>
            </w:r>
            <w:r>
              <w:rPr>
                <w:rFonts w:ascii="仿宋_GB2312" w:hint="eastAsia"/>
                <w:sz w:val="24"/>
                <w:szCs w:val="24"/>
              </w:rPr>
              <w:t>模型动画表达完整</w:t>
            </w: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B444A1" w:rsidRDefault="00B444A1">
            <w:pPr>
              <w:widowControl/>
              <w:jc w:val="left"/>
              <w:rPr>
                <w:rFonts w:ascii="仿宋_GB2312"/>
                <w:sz w:val="24"/>
                <w:szCs w:val="24"/>
              </w:rPr>
            </w:pPr>
          </w:p>
        </w:tc>
      </w:tr>
      <w:tr w:rsidR="00B444A1" w:rsidTr="00B444A1">
        <w:tc>
          <w:tcPr>
            <w:tcW w:w="1647" w:type="dxa"/>
            <w:vMerge/>
            <w:tcBorders>
              <w:top w:val="single" w:sz="4" w:space="0" w:color="auto"/>
              <w:left w:val="single" w:sz="4" w:space="0" w:color="auto"/>
              <w:bottom w:val="single" w:sz="4" w:space="0" w:color="auto"/>
              <w:right w:val="single" w:sz="4" w:space="0" w:color="auto"/>
            </w:tcBorders>
            <w:vAlign w:val="center"/>
            <w:hideMark/>
          </w:tcPr>
          <w:p w:rsidR="00B444A1" w:rsidRDefault="00B444A1">
            <w:pPr>
              <w:widowControl/>
              <w:jc w:val="left"/>
              <w:rPr>
                <w:rFonts w:ascii="仿宋_GB2312"/>
                <w:spacing w:val="-20"/>
                <w:sz w:val="24"/>
                <w:szCs w:val="24"/>
              </w:rPr>
            </w:pPr>
          </w:p>
        </w:tc>
        <w:tc>
          <w:tcPr>
            <w:tcW w:w="1299"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视  频</w:t>
            </w:r>
          </w:p>
        </w:tc>
        <w:tc>
          <w:tcPr>
            <w:tcW w:w="5366" w:type="dxa"/>
            <w:tcBorders>
              <w:top w:val="single" w:sz="4" w:space="0" w:color="auto"/>
              <w:left w:val="single" w:sz="4" w:space="0" w:color="auto"/>
              <w:bottom w:val="single" w:sz="4" w:space="0" w:color="auto"/>
              <w:right w:val="single" w:sz="4" w:space="0" w:color="auto"/>
            </w:tcBorders>
            <w:hideMark/>
          </w:tcPr>
          <w:p w:rsidR="00B444A1" w:rsidRDefault="00B444A1">
            <w:pPr>
              <w:adjustRightInd w:val="0"/>
              <w:snapToGrid w:val="0"/>
              <w:rPr>
                <w:rFonts w:ascii="仿宋_GB2312" w:hAnsi="宋体"/>
                <w:sz w:val="24"/>
                <w:szCs w:val="24"/>
              </w:rPr>
            </w:pPr>
            <w:r>
              <w:rPr>
                <w:rFonts w:ascii="仿宋_GB2312" w:hAnsi="宋体" w:hint="eastAsia"/>
                <w:sz w:val="24"/>
                <w:szCs w:val="24"/>
              </w:rPr>
              <w:t>（1）视频录制与输出尺寸：1280*720 25P（16:9）</w:t>
            </w:r>
          </w:p>
          <w:p w:rsidR="00B444A1" w:rsidRDefault="00B444A1">
            <w:pPr>
              <w:adjustRightInd w:val="0"/>
              <w:snapToGrid w:val="0"/>
              <w:rPr>
                <w:rFonts w:ascii="仿宋_GB2312" w:hAnsi="宋体" w:hint="eastAsia"/>
                <w:sz w:val="24"/>
                <w:szCs w:val="24"/>
              </w:rPr>
            </w:pPr>
            <w:r>
              <w:rPr>
                <w:rFonts w:ascii="仿宋_GB2312" w:hAnsi="宋体" w:hint="eastAsia"/>
                <w:sz w:val="24"/>
                <w:szCs w:val="24"/>
              </w:rPr>
              <w:t>（2）视频输出格式：*.mp4</w:t>
            </w:r>
          </w:p>
          <w:p w:rsidR="00B444A1" w:rsidRDefault="00B444A1">
            <w:pPr>
              <w:adjustRightInd w:val="0"/>
              <w:snapToGrid w:val="0"/>
              <w:rPr>
                <w:rFonts w:ascii="仿宋_GB2312" w:hAnsi="宋体" w:hint="eastAsia"/>
                <w:sz w:val="24"/>
                <w:szCs w:val="24"/>
              </w:rPr>
            </w:pPr>
            <w:r>
              <w:rPr>
                <w:rFonts w:ascii="仿宋_GB2312" w:hAnsi="宋体" w:hint="eastAsia"/>
                <w:sz w:val="24"/>
                <w:szCs w:val="24"/>
              </w:rPr>
              <w:t>（3）时间长度：小于10分钟</w:t>
            </w:r>
          </w:p>
          <w:p w:rsidR="00B444A1" w:rsidRDefault="00B444A1">
            <w:pPr>
              <w:adjustRightInd w:val="0"/>
              <w:snapToGrid w:val="0"/>
              <w:rPr>
                <w:rFonts w:ascii="仿宋_GB2312" w:hAnsi="宋体" w:hint="eastAsia"/>
                <w:sz w:val="24"/>
                <w:szCs w:val="24"/>
              </w:rPr>
            </w:pPr>
            <w:r>
              <w:rPr>
                <w:rFonts w:ascii="仿宋_GB2312" w:hAnsi="宋体" w:hint="eastAsia"/>
                <w:sz w:val="24"/>
                <w:szCs w:val="24"/>
              </w:rPr>
              <w:t>（4）同一专业视频同一片头、字幕</w:t>
            </w:r>
          </w:p>
          <w:p w:rsidR="00B444A1" w:rsidRDefault="00B444A1">
            <w:pPr>
              <w:adjustRightInd w:val="0"/>
              <w:snapToGrid w:val="0"/>
              <w:rPr>
                <w:rFonts w:ascii="仿宋_GB2312" w:hAnsi="宋体"/>
                <w:sz w:val="24"/>
                <w:szCs w:val="24"/>
              </w:rPr>
            </w:pPr>
            <w:r>
              <w:rPr>
                <w:rFonts w:ascii="仿宋_GB2312" w:hint="eastAsia"/>
                <w:sz w:val="24"/>
                <w:szCs w:val="24"/>
              </w:rPr>
              <w:t>（5）</w:t>
            </w:r>
            <w:r>
              <w:rPr>
                <w:rFonts w:ascii="仿宋_GB2312" w:hAnsi="宋体" w:hint="eastAsia"/>
                <w:sz w:val="24"/>
                <w:szCs w:val="24"/>
              </w:rPr>
              <w:t>输出视频采用AVC编码（Ｈ.264）</w:t>
            </w: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B444A1" w:rsidRDefault="00B444A1">
            <w:pPr>
              <w:widowControl/>
              <w:jc w:val="left"/>
              <w:rPr>
                <w:rFonts w:ascii="仿宋_GB2312"/>
                <w:sz w:val="24"/>
                <w:szCs w:val="24"/>
              </w:rPr>
            </w:pPr>
          </w:p>
        </w:tc>
      </w:tr>
      <w:tr w:rsidR="00B444A1" w:rsidTr="00B444A1">
        <w:tc>
          <w:tcPr>
            <w:tcW w:w="1647" w:type="dxa"/>
            <w:vMerge/>
            <w:tcBorders>
              <w:top w:val="single" w:sz="4" w:space="0" w:color="auto"/>
              <w:left w:val="single" w:sz="4" w:space="0" w:color="auto"/>
              <w:bottom w:val="single" w:sz="4" w:space="0" w:color="auto"/>
              <w:right w:val="single" w:sz="4" w:space="0" w:color="auto"/>
            </w:tcBorders>
            <w:vAlign w:val="center"/>
            <w:hideMark/>
          </w:tcPr>
          <w:p w:rsidR="00B444A1" w:rsidRDefault="00B444A1">
            <w:pPr>
              <w:widowControl/>
              <w:jc w:val="left"/>
              <w:rPr>
                <w:rFonts w:ascii="仿宋_GB2312"/>
                <w:spacing w:val="-20"/>
                <w:sz w:val="24"/>
                <w:szCs w:val="24"/>
              </w:rPr>
            </w:pPr>
          </w:p>
        </w:tc>
        <w:tc>
          <w:tcPr>
            <w:tcW w:w="1299"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rPr>
                <w:rFonts w:ascii="仿宋_GB2312"/>
                <w:sz w:val="24"/>
                <w:szCs w:val="24"/>
              </w:rPr>
            </w:pPr>
            <w:r>
              <w:rPr>
                <w:rFonts w:ascii="仿宋_GB2312" w:hint="eastAsia"/>
                <w:sz w:val="24"/>
                <w:szCs w:val="24"/>
              </w:rPr>
              <w:t>微  课</w:t>
            </w:r>
          </w:p>
        </w:tc>
        <w:tc>
          <w:tcPr>
            <w:tcW w:w="5366" w:type="dxa"/>
            <w:tcBorders>
              <w:top w:val="single" w:sz="4" w:space="0" w:color="auto"/>
              <w:left w:val="single" w:sz="4" w:space="0" w:color="auto"/>
              <w:bottom w:val="single" w:sz="4" w:space="0" w:color="auto"/>
              <w:right w:val="single" w:sz="4" w:space="0" w:color="auto"/>
            </w:tcBorders>
            <w:hideMark/>
          </w:tcPr>
          <w:p w:rsidR="00B444A1" w:rsidRDefault="00B444A1">
            <w:pPr>
              <w:adjustRightInd w:val="0"/>
              <w:snapToGrid w:val="0"/>
              <w:rPr>
                <w:rFonts w:ascii="仿宋_GB2312"/>
                <w:sz w:val="24"/>
                <w:szCs w:val="24"/>
              </w:rPr>
            </w:pPr>
            <w:r>
              <w:rPr>
                <w:rFonts w:ascii="仿宋_GB2312" w:hint="eastAsia"/>
                <w:sz w:val="24"/>
                <w:szCs w:val="24"/>
              </w:rPr>
              <w:t>（1）视频录制与输出尺寸：1280*720 25P （16:9）</w:t>
            </w:r>
          </w:p>
          <w:p w:rsidR="00B444A1" w:rsidRDefault="00B444A1">
            <w:pPr>
              <w:adjustRightInd w:val="0"/>
              <w:snapToGrid w:val="0"/>
              <w:rPr>
                <w:rFonts w:ascii="仿宋_GB2312" w:hint="eastAsia"/>
                <w:sz w:val="24"/>
                <w:szCs w:val="24"/>
              </w:rPr>
            </w:pPr>
            <w:r>
              <w:rPr>
                <w:rFonts w:ascii="仿宋_GB2312" w:hAnsi="宋体" w:hint="eastAsia"/>
                <w:sz w:val="24"/>
                <w:szCs w:val="24"/>
              </w:rPr>
              <w:t>（2）</w:t>
            </w:r>
            <w:r>
              <w:rPr>
                <w:rFonts w:ascii="仿宋_GB2312" w:hint="eastAsia"/>
                <w:sz w:val="24"/>
                <w:szCs w:val="24"/>
              </w:rPr>
              <w:t>视频输出格式：*.mp4</w:t>
            </w:r>
          </w:p>
          <w:p w:rsidR="00B444A1" w:rsidRDefault="00B444A1">
            <w:pPr>
              <w:adjustRightInd w:val="0"/>
              <w:snapToGrid w:val="0"/>
              <w:rPr>
                <w:rFonts w:ascii="仿宋_GB2312" w:hint="eastAsia"/>
                <w:sz w:val="24"/>
                <w:szCs w:val="24"/>
              </w:rPr>
            </w:pPr>
            <w:r>
              <w:rPr>
                <w:rFonts w:ascii="仿宋_GB2312" w:hAnsi="宋体" w:hint="eastAsia"/>
                <w:sz w:val="24"/>
                <w:szCs w:val="24"/>
              </w:rPr>
              <w:t>（3）</w:t>
            </w:r>
            <w:r>
              <w:rPr>
                <w:rFonts w:ascii="仿宋_GB2312" w:hint="eastAsia"/>
                <w:sz w:val="24"/>
                <w:szCs w:val="24"/>
              </w:rPr>
              <w:t>时间长度：小于10分钟</w:t>
            </w:r>
          </w:p>
          <w:p w:rsidR="00B444A1" w:rsidRDefault="00B444A1">
            <w:pPr>
              <w:adjustRightInd w:val="0"/>
              <w:snapToGrid w:val="0"/>
              <w:rPr>
                <w:rFonts w:ascii="仿宋_GB2312" w:hint="eastAsia"/>
                <w:sz w:val="24"/>
                <w:szCs w:val="24"/>
              </w:rPr>
            </w:pPr>
            <w:r>
              <w:rPr>
                <w:rFonts w:ascii="仿宋_GB2312" w:hAnsi="宋体" w:hint="eastAsia"/>
                <w:sz w:val="24"/>
                <w:szCs w:val="24"/>
              </w:rPr>
              <w:t>（4）</w:t>
            </w:r>
            <w:r>
              <w:rPr>
                <w:rFonts w:ascii="仿宋_GB2312" w:hint="eastAsia"/>
                <w:sz w:val="24"/>
                <w:szCs w:val="24"/>
              </w:rPr>
              <w:t>同一专业视频同一片头、字幕</w:t>
            </w:r>
          </w:p>
          <w:p w:rsidR="00B444A1" w:rsidRDefault="00B444A1">
            <w:pPr>
              <w:adjustRightInd w:val="0"/>
              <w:snapToGrid w:val="0"/>
              <w:rPr>
                <w:rFonts w:ascii="仿宋_GB2312"/>
                <w:sz w:val="24"/>
                <w:szCs w:val="24"/>
              </w:rPr>
            </w:pPr>
            <w:r>
              <w:rPr>
                <w:rFonts w:ascii="仿宋_GB2312" w:hAnsi="宋体" w:hint="eastAsia"/>
                <w:sz w:val="24"/>
                <w:szCs w:val="24"/>
              </w:rPr>
              <w:t>（5）输出视频采用AVC编码（Ｈ.264）</w:t>
            </w: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B444A1" w:rsidRDefault="00B444A1">
            <w:pPr>
              <w:widowControl/>
              <w:jc w:val="left"/>
              <w:rPr>
                <w:rFonts w:ascii="仿宋_GB2312"/>
                <w:sz w:val="24"/>
                <w:szCs w:val="24"/>
              </w:rPr>
            </w:pPr>
          </w:p>
        </w:tc>
      </w:tr>
    </w:tbl>
    <w:p w:rsidR="00B444A1" w:rsidRDefault="00B444A1" w:rsidP="00B444A1">
      <w:pPr>
        <w:adjustRightInd w:val="0"/>
        <w:ind w:firstLineChars="200" w:firstLine="600"/>
        <w:rPr>
          <w:rFonts w:ascii="黑体" w:eastAsia="黑体" w:hint="eastAsia"/>
        </w:rPr>
      </w:pPr>
      <w:r>
        <w:rPr>
          <w:rFonts w:ascii="黑体" w:eastAsia="黑体" w:hint="eastAsia"/>
        </w:rPr>
        <w:t>二、验收方法</w:t>
      </w:r>
    </w:p>
    <w:p w:rsidR="00B444A1" w:rsidRDefault="00B444A1" w:rsidP="00B444A1">
      <w:pPr>
        <w:pStyle w:val="a4"/>
        <w:adjustRightInd w:val="0"/>
        <w:ind w:firstLine="600"/>
        <w:rPr>
          <w:rFonts w:ascii="仿宋_GB2312" w:hint="eastAsia"/>
        </w:rPr>
      </w:pPr>
      <w:r>
        <w:rPr>
          <w:rFonts w:ascii="仿宋_GB2312" w:hint="eastAsia"/>
        </w:rPr>
        <w:t>定量评价与定性评价相结合。</w:t>
      </w:r>
    </w:p>
    <w:p w:rsidR="00B444A1" w:rsidRDefault="00B444A1" w:rsidP="00B444A1">
      <w:pPr>
        <w:pStyle w:val="a4"/>
        <w:adjustRightInd w:val="0"/>
        <w:ind w:firstLine="568"/>
        <w:rPr>
          <w:rFonts w:ascii="仿宋_GB2312" w:hint="eastAsia"/>
          <w:spacing w:val="-8"/>
        </w:rPr>
      </w:pPr>
      <w:r>
        <w:rPr>
          <w:rFonts w:ascii="仿宋_GB2312" w:hint="eastAsia"/>
          <w:spacing w:val="-8"/>
        </w:rPr>
        <w:t>验收对象出现否决性指标中任何一项情况，即判定为不合格。</w:t>
      </w:r>
    </w:p>
    <w:p w:rsidR="00B444A1" w:rsidRDefault="00B444A1" w:rsidP="00B444A1">
      <w:pPr>
        <w:pStyle w:val="a4"/>
        <w:adjustRightInd w:val="0"/>
        <w:ind w:firstLine="600"/>
        <w:rPr>
          <w:rFonts w:ascii="仿宋_GB2312" w:hint="eastAsia"/>
        </w:rPr>
      </w:pPr>
      <w:r>
        <w:rPr>
          <w:rFonts w:ascii="仿宋_GB2312" w:hint="eastAsia"/>
        </w:rPr>
        <w:t>资源总分=内容得分×40%+技术得分×40%+书稿得分×20%；</w:t>
      </w:r>
    </w:p>
    <w:p w:rsidR="00B444A1" w:rsidRDefault="00B444A1" w:rsidP="00B444A1">
      <w:pPr>
        <w:adjustRightInd w:val="0"/>
        <w:ind w:firstLineChars="200" w:firstLine="600"/>
        <w:rPr>
          <w:rFonts w:ascii="黑体" w:eastAsia="黑体" w:hAnsi="Times New Roman" w:hint="eastAsia"/>
        </w:rPr>
      </w:pPr>
      <w:r>
        <w:rPr>
          <w:rFonts w:ascii="黑体" w:eastAsia="黑体" w:hAnsi="Times New Roman" w:hint="eastAsia"/>
        </w:rPr>
        <w:t>三、验收结果</w:t>
      </w:r>
    </w:p>
    <w:p w:rsidR="00B444A1" w:rsidRDefault="00B444A1" w:rsidP="00B444A1">
      <w:pPr>
        <w:adjustRightInd w:val="0"/>
        <w:ind w:firstLineChars="200" w:firstLine="600"/>
        <w:rPr>
          <w:rFonts w:ascii="仿宋_GB2312" w:hint="eastAsia"/>
        </w:rPr>
      </w:pPr>
      <w:r>
        <w:rPr>
          <w:rFonts w:ascii="仿宋_GB2312" w:hint="eastAsia"/>
        </w:rPr>
        <w:t>书稿、资源验收后，根据综合赋分得出相应结果：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1"/>
        <w:gridCol w:w="2518"/>
        <w:gridCol w:w="3391"/>
      </w:tblGrid>
      <w:tr w:rsidR="00B444A1" w:rsidTr="00B444A1">
        <w:trPr>
          <w:trHeight w:hRule="exact" w:val="567"/>
        </w:trPr>
        <w:tc>
          <w:tcPr>
            <w:tcW w:w="2771"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spacing w:line="240" w:lineRule="atLeast"/>
              <w:ind w:firstLineChars="200" w:firstLine="600"/>
              <w:jc w:val="center"/>
              <w:rPr>
                <w:rFonts w:ascii="仿宋_GB2312"/>
              </w:rPr>
            </w:pPr>
            <w:r>
              <w:rPr>
                <w:rFonts w:ascii="仿宋_GB2312" w:hint="eastAsia"/>
              </w:rPr>
              <w:lastRenderedPageBreak/>
              <w:t>A</w:t>
            </w:r>
          </w:p>
        </w:tc>
        <w:tc>
          <w:tcPr>
            <w:tcW w:w="2518"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spacing w:line="240" w:lineRule="atLeast"/>
              <w:ind w:firstLineChars="200" w:firstLine="600"/>
              <w:jc w:val="center"/>
              <w:rPr>
                <w:rFonts w:ascii="仿宋_GB2312"/>
              </w:rPr>
            </w:pPr>
            <w:r>
              <w:rPr>
                <w:rFonts w:ascii="仿宋_GB2312" w:hint="eastAsia"/>
              </w:rPr>
              <w:t>B</w:t>
            </w:r>
          </w:p>
        </w:tc>
        <w:tc>
          <w:tcPr>
            <w:tcW w:w="3391"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spacing w:line="240" w:lineRule="atLeast"/>
              <w:ind w:firstLineChars="200" w:firstLine="600"/>
              <w:jc w:val="center"/>
              <w:rPr>
                <w:rFonts w:ascii="仿宋_GB2312"/>
              </w:rPr>
            </w:pPr>
            <w:r>
              <w:rPr>
                <w:rFonts w:ascii="仿宋_GB2312" w:hint="eastAsia"/>
              </w:rPr>
              <w:t>C</w:t>
            </w:r>
          </w:p>
        </w:tc>
      </w:tr>
      <w:tr w:rsidR="00B444A1" w:rsidTr="00B444A1">
        <w:trPr>
          <w:trHeight w:hRule="exact" w:val="567"/>
        </w:trPr>
        <w:tc>
          <w:tcPr>
            <w:tcW w:w="2771"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spacing w:line="240" w:lineRule="atLeast"/>
              <w:ind w:firstLineChars="200" w:firstLine="600"/>
              <w:jc w:val="center"/>
              <w:rPr>
                <w:rFonts w:ascii="仿宋_GB2312"/>
              </w:rPr>
            </w:pPr>
            <w:r>
              <w:rPr>
                <w:rFonts w:ascii="仿宋_GB2312" w:hint="eastAsia"/>
              </w:rPr>
              <w:t>81～100分</w:t>
            </w:r>
          </w:p>
        </w:tc>
        <w:tc>
          <w:tcPr>
            <w:tcW w:w="2518"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spacing w:line="240" w:lineRule="atLeast"/>
              <w:ind w:firstLineChars="200" w:firstLine="600"/>
              <w:jc w:val="center"/>
              <w:rPr>
                <w:rFonts w:ascii="仿宋_GB2312"/>
              </w:rPr>
            </w:pPr>
            <w:r>
              <w:rPr>
                <w:rFonts w:ascii="仿宋_GB2312" w:hint="eastAsia"/>
              </w:rPr>
              <w:t>51～80分</w:t>
            </w:r>
          </w:p>
        </w:tc>
        <w:tc>
          <w:tcPr>
            <w:tcW w:w="3391"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spacing w:line="240" w:lineRule="atLeast"/>
              <w:ind w:firstLineChars="200" w:firstLine="600"/>
              <w:jc w:val="center"/>
              <w:rPr>
                <w:rFonts w:ascii="仿宋_GB2312"/>
              </w:rPr>
            </w:pPr>
            <w:r>
              <w:rPr>
                <w:rFonts w:ascii="仿宋_GB2312" w:hint="eastAsia"/>
              </w:rPr>
              <w:t>0～50分</w:t>
            </w:r>
          </w:p>
        </w:tc>
      </w:tr>
      <w:tr w:rsidR="00B444A1" w:rsidTr="00B444A1">
        <w:trPr>
          <w:trHeight w:hRule="exact" w:val="567"/>
        </w:trPr>
        <w:tc>
          <w:tcPr>
            <w:tcW w:w="2771"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spacing w:line="240" w:lineRule="atLeast"/>
              <w:ind w:firstLineChars="200" w:firstLine="600"/>
              <w:jc w:val="center"/>
              <w:rPr>
                <w:rFonts w:ascii="仿宋_GB2312"/>
              </w:rPr>
            </w:pPr>
            <w:r>
              <w:rPr>
                <w:rFonts w:ascii="仿宋_GB2312" w:hint="eastAsia"/>
              </w:rPr>
              <w:t>通过</w:t>
            </w:r>
          </w:p>
        </w:tc>
        <w:tc>
          <w:tcPr>
            <w:tcW w:w="2518"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spacing w:line="240" w:lineRule="atLeast"/>
              <w:ind w:firstLineChars="200" w:firstLine="600"/>
              <w:jc w:val="center"/>
              <w:rPr>
                <w:rFonts w:ascii="仿宋_GB2312"/>
              </w:rPr>
            </w:pPr>
            <w:r>
              <w:rPr>
                <w:rFonts w:ascii="仿宋_GB2312" w:hint="eastAsia"/>
              </w:rPr>
              <w:t>暂缓通过</w:t>
            </w:r>
          </w:p>
        </w:tc>
        <w:tc>
          <w:tcPr>
            <w:tcW w:w="3391" w:type="dxa"/>
            <w:tcBorders>
              <w:top w:val="single" w:sz="4" w:space="0" w:color="auto"/>
              <w:left w:val="single" w:sz="4" w:space="0" w:color="auto"/>
              <w:bottom w:val="single" w:sz="4" w:space="0" w:color="auto"/>
              <w:right w:val="single" w:sz="4" w:space="0" w:color="auto"/>
            </w:tcBorders>
            <w:vAlign w:val="center"/>
            <w:hideMark/>
          </w:tcPr>
          <w:p w:rsidR="00B444A1" w:rsidRDefault="00B444A1">
            <w:pPr>
              <w:adjustRightInd w:val="0"/>
              <w:snapToGrid w:val="0"/>
              <w:spacing w:line="240" w:lineRule="atLeast"/>
              <w:ind w:firstLineChars="200" w:firstLine="600"/>
              <w:jc w:val="center"/>
              <w:rPr>
                <w:rFonts w:ascii="仿宋_GB2312"/>
              </w:rPr>
            </w:pPr>
            <w:r>
              <w:rPr>
                <w:rFonts w:ascii="仿宋_GB2312" w:hint="eastAsia"/>
              </w:rPr>
              <w:t>不予通过</w:t>
            </w:r>
          </w:p>
        </w:tc>
      </w:tr>
    </w:tbl>
    <w:p w:rsidR="00B444A1" w:rsidRDefault="00B444A1" w:rsidP="00B444A1">
      <w:pPr>
        <w:adjustRightInd w:val="0"/>
        <w:snapToGrid w:val="0"/>
        <w:spacing w:line="360" w:lineRule="auto"/>
        <w:ind w:firstLineChars="200" w:firstLine="600"/>
        <w:jc w:val="center"/>
        <w:rPr>
          <w:rFonts w:ascii="黑体" w:eastAsia="黑体" w:hAnsi="黑体" w:hint="eastAsia"/>
        </w:rPr>
      </w:pPr>
    </w:p>
    <w:p w:rsidR="00B444A1" w:rsidRDefault="00B444A1" w:rsidP="00B444A1">
      <w:pPr>
        <w:adjustRightInd w:val="0"/>
        <w:snapToGrid w:val="0"/>
        <w:spacing w:line="360" w:lineRule="auto"/>
        <w:jc w:val="center"/>
        <w:rPr>
          <w:rFonts w:ascii="黑体" w:eastAsia="黑体" w:hAnsi="黑体" w:hint="eastAsia"/>
        </w:rPr>
      </w:pPr>
      <w:r>
        <w:rPr>
          <w:rFonts w:ascii="黑体" w:eastAsia="黑体" w:hAnsi="黑体" w:hint="eastAsia"/>
        </w:rPr>
        <w:t>第六章  编辑出版</w:t>
      </w:r>
    </w:p>
    <w:p w:rsidR="00B444A1" w:rsidRDefault="00B444A1" w:rsidP="00B444A1">
      <w:pPr>
        <w:adjustRightInd w:val="0"/>
        <w:snapToGrid w:val="0"/>
        <w:spacing w:line="360" w:lineRule="auto"/>
        <w:ind w:firstLineChars="200" w:firstLine="600"/>
        <w:rPr>
          <w:rFonts w:ascii="仿宋_GB2312" w:hint="eastAsia"/>
        </w:rPr>
      </w:pPr>
      <w:r>
        <w:rPr>
          <w:rFonts w:ascii="仿宋_GB2312" w:hAnsi="宋体" w:hint="eastAsia"/>
        </w:rPr>
        <w:t>项目通过验收后，</w:t>
      </w:r>
      <w:r>
        <w:rPr>
          <w:rFonts w:ascii="仿宋_GB2312" w:hint="eastAsia"/>
        </w:rPr>
        <w:t>出版社严格按照出版流程和出版周期的要求，组织立体化教材</w:t>
      </w:r>
      <w:r>
        <w:rPr>
          <w:rFonts w:ascii="仿宋_GB2312" w:hAnsi="宋体" w:hint="eastAsia"/>
        </w:rPr>
        <w:t>数字资源内容的审核和书稿的编辑出版，并委托相关技术公司对数字资源进行技术处理，</w:t>
      </w:r>
      <w:r>
        <w:rPr>
          <w:rFonts w:ascii="仿宋_GB2312" w:hint="eastAsia"/>
        </w:rPr>
        <w:t>保证线上</w:t>
      </w:r>
      <w:r>
        <w:rPr>
          <w:rFonts w:ascii="仿宋_GB2312" w:hAnsi="宋体" w:hint="eastAsia"/>
        </w:rPr>
        <w:t>数字资源与纸质教材完整统一。</w:t>
      </w:r>
    </w:p>
    <w:p w:rsidR="00B444A1" w:rsidRDefault="00B444A1" w:rsidP="00B444A1">
      <w:pPr>
        <w:adjustRightInd w:val="0"/>
        <w:snapToGrid w:val="0"/>
        <w:spacing w:line="360" w:lineRule="auto"/>
        <w:jc w:val="center"/>
        <w:rPr>
          <w:rFonts w:ascii="黑体" w:eastAsia="黑体" w:hAnsi="黑体" w:hint="eastAsia"/>
        </w:rPr>
      </w:pPr>
      <w:r>
        <w:rPr>
          <w:rFonts w:ascii="黑体" w:eastAsia="黑体" w:hAnsi="黑体" w:hint="eastAsia"/>
        </w:rPr>
        <w:t>第七章  推广使用和维护升级</w:t>
      </w:r>
    </w:p>
    <w:p w:rsidR="00B444A1" w:rsidRDefault="00B444A1" w:rsidP="00B444A1">
      <w:pPr>
        <w:adjustRightInd w:val="0"/>
        <w:snapToGrid w:val="0"/>
        <w:spacing w:line="360" w:lineRule="auto"/>
        <w:ind w:firstLineChars="200" w:firstLine="600"/>
        <w:rPr>
          <w:rFonts w:ascii="仿宋_GB2312" w:hAnsi="宋体" w:hint="eastAsia"/>
        </w:rPr>
      </w:pPr>
      <w:r>
        <w:rPr>
          <w:rFonts w:ascii="仿宋_GB2312" w:hAnsi="宋体" w:hint="eastAsia"/>
        </w:rPr>
        <w:t>各高职院校（或专业学会）要高度重视立体化教材立项、建设和推广使用</w:t>
      </w:r>
      <w:r>
        <w:rPr>
          <w:rFonts w:hint="eastAsia"/>
        </w:rPr>
        <w:t>。</w:t>
      </w:r>
      <w:r>
        <w:rPr>
          <w:rFonts w:ascii="仿宋_GB2312" w:hAnsi="宋体" w:hint="eastAsia"/>
        </w:rPr>
        <w:t>项目单位要广泛收集师生使用后的反馈意见，及时修订、完善和更新教材内容和配套资源。出版社要对升级更新内容及时审核，维护更新数字资源平台和APP。</w:t>
      </w:r>
    </w:p>
    <w:p w:rsidR="00B444A1" w:rsidRDefault="00B444A1" w:rsidP="00B444A1">
      <w:pPr>
        <w:adjustRightInd w:val="0"/>
        <w:snapToGrid w:val="0"/>
        <w:spacing w:line="360" w:lineRule="auto"/>
        <w:jc w:val="center"/>
        <w:rPr>
          <w:rFonts w:ascii="仿宋_GB2312" w:hAnsi="宋体" w:hint="eastAsia"/>
        </w:rPr>
      </w:pPr>
      <w:r>
        <w:rPr>
          <w:rFonts w:ascii="黑体" w:eastAsia="黑体" w:hAnsi="黑体" w:hint="eastAsia"/>
        </w:rPr>
        <w:t>第八章  评奖</w:t>
      </w:r>
    </w:p>
    <w:p w:rsidR="00B444A1" w:rsidRDefault="00B444A1" w:rsidP="00B444A1">
      <w:pPr>
        <w:pStyle w:val="a4"/>
        <w:adjustRightInd w:val="0"/>
        <w:snapToGrid w:val="0"/>
        <w:spacing w:line="360" w:lineRule="auto"/>
        <w:ind w:firstLine="600"/>
        <w:rPr>
          <w:rFonts w:ascii="仿宋_GB2312" w:hAnsi="宋体" w:hint="eastAsia"/>
        </w:rPr>
      </w:pPr>
      <w:r>
        <w:rPr>
          <w:rFonts w:ascii="仿宋_GB2312" w:hAnsi="宋体" w:hint="eastAsia"/>
        </w:rPr>
        <w:t>对已通过验收并结项的立体化教材项目，出版社每两年组织一次评奖活动。根据项目实施、验收和使用情况等进行综合评定，并给予一定的资金奖励，对特别优秀项目的承担单位适当增加下年度申报项目数量。</w:t>
      </w:r>
    </w:p>
    <w:p w:rsidR="00B444A1" w:rsidRDefault="00B444A1" w:rsidP="00B444A1">
      <w:pPr>
        <w:adjustRightInd w:val="0"/>
        <w:snapToGrid w:val="0"/>
        <w:spacing w:line="360" w:lineRule="auto"/>
        <w:jc w:val="center"/>
        <w:rPr>
          <w:rFonts w:ascii="黑体" w:eastAsia="黑体" w:hAnsi="黑体" w:hint="eastAsia"/>
        </w:rPr>
      </w:pPr>
      <w:r>
        <w:rPr>
          <w:rFonts w:ascii="黑体" w:eastAsia="黑体" w:hAnsi="黑体" w:hint="eastAsia"/>
        </w:rPr>
        <w:t>第九章  其  他</w:t>
      </w:r>
    </w:p>
    <w:p w:rsidR="00B444A1" w:rsidRDefault="00B444A1" w:rsidP="00B444A1">
      <w:pPr>
        <w:pStyle w:val="a3"/>
        <w:adjustRightInd w:val="0"/>
        <w:snapToGrid w:val="0"/>
        <w:spacing w:line="360" w:lineRule="auto"/>
        <w:ind w:firstLineChars="200" w:firstLine="600"/>
        <w:rPr>
          <w:rFonts w:ascii="仿宋_GB2312" w:hAnsi="宋体" w:hint="eastAsia"/>
          <w:sz w:val="30"/>
          <w:szCs w:val="30"/>
        </w:rPr>
      </w:pPr>
      <w:r>
        <w:rPr>
          <w:rFonts w:ascii="仿宋_GB2312" w:hAnsi="宋体" w:hint="eastAsia"/>
          <w:sz w:val="30"/>
          <w:szCs w:val="30"/>
        </w:rPr>
        <w:t>立体化教材是由教育主管部门、学校和出版单位共同出资，并由项目团队成员集体完成的职务作品（以下简称“作品”），作品的形式包括但不限于文字作品、影像作品等，各方依法享有的权益应依据《中华人民共和国著作权法》相关规定执行。</w:t>
      </w:r>
    </w:p>
    <w:p w:rsidR="00B444A1" w:rsidRDefault="00B444A1" w:rsidP="00B444A1">
      <w:pPr>
        <w:pStyle w:val="a3"/>
        <w:adjustRightInd w:val="0"/>
        <w:snapToGrid w:val="0"/>
        <w:spacing w:line="360" w:lineRule="auto"/>
        <w:ind w:firstLineChars="200" w:firstLine="600"/>
        <w:rPr>
          <w:rFonts w:ascii="仿宋_GB2312" w:hAnsi="宋体" w:hint="eastAsia"/>
          <w:sz w:val="30"/>
          <w:szCs w:val="30"/>
        </w:rPr>
      </w:pPr>
      <w:r>
        <w:rPr>
          <w:rFonts w:ascii="仿宋_GB2312" w:hAnsi="宋体" w:hint="eastAsia"/>
          <w:sz w:val="30"/>
          <w:szCs w:val="30"/>
        </w:rPr>
        <w:lastRenderedPageBreak/>
        <w:t>立体化教材立项名单经过公示后，团队主要成员不得擅自调整，若确因工作需要变更项目成员的，项目承担单位须向教育厅提出书面申请，教育厅同意后予以调整。</w:t>
      </w:r>
    </w:p>
    <w:p w:rsidR="00B444A1" w:rsidRDefault="00B444A1" w:rsidP="00B444A1">
      <w:pPr>
        <w:rPr>
          <w:rFonts w:hint="eastAsia"/>
        </w:rPr>
      </w:pPr>
    </w:p>
    <w:p w:rsidR="00B444A1" w:rsidRDefault="00B444A1" w:rsidP="00B444A1"/>
    <w:p w:rsidR="00B444A1" w:rsidRDefault="00B444A1" w:rsidP="00B444A1"/>
    <w:p w:rsidR="00B444A1" w:rsidRDefault="00B444A1" w:rsidP="00B444A1"/>
    <w:p w:rsidR="00B444A1" w:rsidRDefault="00B444A1" w:rsidP="00B444A1"/>
    <w:p w:rsidR="00B444A1" w:rsidRDefault="00B444A1" w:rsidP="00B444A1"/>
    <w:p w:rsidR="00B444A1" w:rsidRDefault="00B444A1" w:rsidP="00B444A1"/>
    <w:p w:rsidR="00B444A1" w:rsidRDefault="00B444A1" w:rsidP="00B444A1"/>
    <w:p w:rsidR="00B444A1" w:rsidRDefault="00B444A1" w:rsidP="00B444A1">
      <w:pPr>
        <w:rPr>
          <w:rFonts w:ascii="仿宋_GB2312"/>
        </w:rPr>
      </w:pPr>
    </w:p>
    <w:p w:rsidR="00000000" w:rsidRDefault="0094702B"/>
    <w:sectPr w:rsidR="000000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44A1"/>
    <w:rsid w:val="00B44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4A1"/>
    <w:pPr>
      <w:widowControl w:val="0"/>
      <w:jc w:val="both"/>
    </w:pPr>
    <w:rPr>
      <w:rFonts w:ascii="Calibri"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semiHidden/>
    <w:unhideWhenUsed/>
    <w:rsid w:val="00B444A1"/>
    <w:pPr>
      <w:jc w:val="left"/>
    </w:pPr>
    <w:rPr>
      <w:rFonts w:eastAsia="宋体"/>
      <w:kern w:val="0"/>
      <w:sz w:val="20"/>
      <w:szCs w:val="20"/>
    </w:rPr>
  </w:style>
  <w:style w:type="character" w:customStyle="1" w:styleId="Char">
    <w:name w:val="批注文字 Char"/>
    <w:basedOn w:val="a0"/>
    <w:link w:val="a3"/>
    <w:uiPriority w:val="99"/>
    <w:semiHidden/>
    <w:rsid w:val="00B444A1"/>
    <w:rPr>
      <w:rFonts w:ascii="Calibri" w:eastAsia="仿宋_GB2312" w:hAnsi="Calibri" w:cs="Times New Roman"/>
      <w:sz w:val="30"/>
      <w:szCs w:val="30"/>
    </w:rPr>
  </w:style>
  <w:style w:type="paragraph" w:styleId="a4">
    <w:name w:val="List Paragraph"/>
    <w:basedOn w:val="a"/>
    <w:qFormat/>
    <w:rsid w:val="00B444A1"/>
    <w:pPr>
      <w:ind w:firstLineChars="200" w:firstLine="420"/>
    </w:pPr>
  </w:style>
  <w:style w:type="character" w:customStyle="1" w:styleId="Char1">
    <w:name w:val="批注文字 Char1"/>
    <w:basedOn w:val="a0"/>
    <w:link w:val="a3"/>
    <w:semiHidden/>
    <w:locked/>
    <w:rsid w:val="00B444A1"/>
    <w:rPr>
      <w:rFonts w:ascii="Calibri" w:eastAsia="宋体" w:hAnsi="Calibri" w:cs="Times New Roman"/>
      <w:kern w:val="0"/>
      <w:sz w:val="20"/>
      <w:szCs w:val="20"/>
    </w:rPr>
  </w:style>
  <w:style w:type="character" w:styleId="a5">
    <w:name w:val="Hyperlink"/>
    <w:basedOn w:val="a0"/>
    <w:uiPriority w:val="99"/>
    <w:semiHidden/>
    <w:unhideWhenUsed/>
    <w:rsid w:val="00B444A1"/>
    <w:rPr>
      <w:color w:val="0000FF"/>
      <w:u w:val="single"/>
    </w:rPr>
  </w:style>
</w:styles>
</file>

<file path=word/webSettings.xml><?xml version="1.0" encoding="utf-8"?>
<w:webSettings xmlns:r="http://schemas.openxmlformats.org/officeDocument/2006/relationships" xmlns:w="http://schemas.openxmlformats.org/wordprocessingml/2006/main">
  <w:divs>
    <w:div w:id="94360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hijiaoyx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750</Words>
  <Characters>4281</Characters>
  <Application>Microsoft Office Word</Application>
  <DocSecurity>0</DocSecurity>
  <Lines>35</Lines>
  <Paragraphs>10</Paragraphs>
  <ScaleCrop>false</ScaleCrop>
  <Company>Microsoft</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ivviw</dc:creator>
  <cp:lastModifiedBy>ivviw</cp:lastModifiedBy>
  <cp:revision>2</cp:revision>
  <dcterms:created xsi:type="dcterms:W3CDTF">2017-11-21T07:15:00Z</dcterms:created>
  <dcterms:modified xsi:type="dcterms:W3CDTF">2017-11-21T07:15:00Z</dcterms:modified>
</cp:coreProperties>
</file>